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1600F05C" w:rsidR="002433AE" w:rsidRPr="00F276EE" w:rsidRDefault="00435196" w:rsidP="002433AE">
      <w:pPr>
        <w:jc w:val="center"/>
        <w:rPr>
          <w:rFonts w:ascii="Arial" w:hAnsi="Arial" w:cs="Arial"/>
          <w:b/>
          <w:bCs/>
          <w:sz w:val="32"/>
          <w:szCs w:val="32"/>
        </w:rPr>
      </w:pPr>
      <w:r>
        <w:rPr>
          <w:rFonts w:ascii="Arial" w:hAnsi="Arial" w:cs="Arial"/>
          <w:b/>
          <w:bCs/>
          <w:sz w:val="32"/>
          <w:szCs w:val="32"/>
        </w:rPr>
        <w:t xml:space="preserve">CALIFORNIA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4C08B7">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4C08B7">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p w14:paraId="1941D07C" w14:textId="77777777" w:rsidR="005B0825" w:rsidRDefault="005B0825" w:rsidP="00374D58">
      <w:pPr>
        <w:autoSpaceDE w:val="0"/>
        <w:autoSpaceDN w:val="0"/>
        <w:adjustRightInd w:val="0"/>
        <w:spacing w:line="276" w:lineRule="auto"/>
        <w:jc w:val="center"/>
        <w:rPr>
          <w:rFonts w:ascii="Arial" w:hAnsi="Arial" w:cs="Arial"/>
          <w:b/>
          <w:bCs/>
          <w:sz w:val="32"/>
          <w:szCs w:val="32"/>
        </w:rPr>
        <w:sectPr w:rsidR="005B0825" w:rsidSect="004C08B7">
          <w:footerReference w:type="default" r:id="rId12"/>
          <w:type w:val="continuous"/>
          <w:pgSz w:w="12240" w:h="15840"/>
          <w:pgMar w:top="1440" w:right="1440" w:bottom="1440" w:left="1440" w:header="720" w:footer="720" w:gutter="0"/>
          <w:cols w:space="720"/>
          <w:docGrid w:linePitch="360"/>
        </w:sectPr>
      </w:pPr>
    </w:p>
    <w:p w14:paraId="030450BF" w14:textId="7029CE9D" w:rsidR="00374D58" w:rsidRPr="00374D58" w:rsidRDefault="00374D58" w:rsidP="00374D58">
      <w:pPr>
        <w:autoSpaceDE w:val="0"/>
        <w:autoSpaceDN w:val="0"/>
        <w:adjustRightInd w:val="0"/>
        <w:spacing w:line="276" w:lineRule="auto"/>
        <w:jc w:val="center"/>
        <w:rPr>
          <w:rFonts w:ascii="Arial" w:hAnsi="Arial" w:cs="Arial"/>
          <w:b/>
          <w:bCs/>
        </w:rPr>
      </w:pPr>
      <w:r>
        <w:rPr>
          <w:rFonts w:ascii="Arial" w:hAnsi="Arial" w:cs="Arial"/>
          <w:b/>
          <w:bCs/>
          <w:sz w:val="32"/>
          <w:szCs w:val="32"/>
        </w:rPr>
        <w:lastRenderedPageBreak/>
        <w:t>CERTIFIED ACCESS SPECIALIST INSPECTION DISCLOSURE</w:t>
      </w:r>
      <w:r w:rsidRPr="00374D58">
        <w:rPr>
          <w:rFonts w:ascii="Arial" w:eastAsia="MS Gothic" w:hAnsi="Arial" w:cs="Arial"/>
        </w:rPr>
        <w:br/>
      </w:r>
    </w:p>
    <w:p w14:paraId="7A14429F" w14:textId="53D36683" w:rsidR="00374D58" w:rsidRDefault="00374D58" w:rsidP="00374D58">
      <w:pPr>
        <w:pStyle w:val="ListParagraph"/>
        <w:numPr>
          <w:ilvl w:val="0"/>
          <w:numId w:val="4"/>
        </w:numPr>
        <w:ind w:left="900" w:hanging="900"/>
        <w:rPr>
          <w:rFonts w:ascii="Arial" w:hAnsi="Arial"/>
        </w:rPr>
      </w:pPr>
      <w:r>
        <w:rPr>
          <w:rFonts w:ascii="Arial" w:hAnsi="Arial" w:cs="Arial"/>
          <w:b/>
          <w:bCs/>
        </w:rPr>
        <w:t>CASP INSPECTION DISCLOSURE</w:t>
      </w:r>
      <w:r w:rsidRPr="00374D58">
        <w:rPr>
          <w:rFonts w:ascii="Arial" w:hAnsi="Arial" w:cs="Arial"/>
        </w:rPr>
        <w:t>.</w:t>
      </w:r>
      <w:r>
        <w:rPr>
          <w:rFonts w:ascii="Arial" w:hAnsi="Arial" w:cs="Arial"/>
        </w:rPr>
        <w:t xml:space="preserve"> </w:t>
      </w:r>
      <w:r w:rsidRPr="00373353">
        <w:rPr>
          <w:rFonts w:ascii="Arial" w:hAnsi="Arial" w:cs="Arial"/>
          <w:bCs/>
        </w:rPr>
        <w:t>The Premises: (check one)</w:t>
      </w:r>
      <w:r>
        <w:rPr>
          <w:rFonts w:ascii="Arial" w:hAnsi="Arial" w:cs="Arial"/>
          <w:b/>
          <w:bCs/>
        </w:rPr>
        <w:br/>
      </w:r>
    </w:p>
    <w:p w14:paraId="66F6E9BE" w14:textId="34D164C3" w:rsidR="00374D58" w:rsidRPr="00374D58" w:rsidRDefault="00000000" w:rsidP="00374D58">
      <w:pPr>
        <w:pStyle w:val="ListParagraph"/>
        <w:autoSpaceDE w:val="0"/>
        <w:autoSpaceDN w:val="0"/>
        <w:adjustRightInd w:val="0"/>
        <w:ind w:left="1440"/>
        <w:rPr>
          <w:rFonts w:ascii="Arial" w:eastAsia="MS Gothic" w:hAnsi="Arial" w:cs="Arial"/>
        </w:rPr>
      </w:pPr>
      <w:sdt>
        <w:sdtPr>
          <w:rPr>
            <w:rFonts w:ascii="Segoe UI Symbol" w:eastAsia="MS Gothic" w:hAnsi="Segoe UI Symbol" w:cs="Segoe UI Symbol"/>
          </w:rPr>
          <w:id w:val="1994141393"/>
          <w14:checkbox>
            <w14:checked w14:val="0"/>
            <w14:checkedState w14:val="2612" w14:font="MS Gothic"/>
            <w14:uncheckedState w14:val="2610" w14:font="MS Gothic"/>
          </w14:checkbox>
        </w:sdtPr>
        <w:sdtContent>
          <w:r w:rsidR="00374D58" w:rsidRPr="00BF71C1">
            <w:rPr>
              <w:rFonts w:ascii="Segoe UI Symbol" w:eastAsia="MS Gothic" w:hAnsi="Segoe UI Symbol" w:cs="Segoe UI Symbol"/>
            </w:rPr>
            <w:t>☐</w:t>
          </w:r>
        </w:sdtContent>
      </w:sdt>
      <w:r w:rsidR="00374D58" w:rsidRPr="00BF71C1">
        <w:rPr>
          <w:rFonts w:ascii="Arial" w:eastAsia="MS Gothic" w:hAnsi="Arial" w:cs="Arial"/>
        </w:rPr>
        <w:t xml:space="preserve"> - </w:t>
      </w:r>
      <w:r w:rsidR="00374D58" w:rsidRPr="00BF71C1">
        <w:rPr>
          <w:rFonts w:ascii="Arial" w:eastAsia="MS Gothic" w:hAnsi="Arial" w:cs="Arial"/>
          <w:u w:val="single"/>
        </w:rPr>
        <w:t>Has undergone inspection by a Certified Access Specialist</w:t>
      </w:r>
      <w:r w:rsidR="00374D58">
        <w:rPr>
          <w:rFonts w:ascii="Arial" w:eastAsia="MS Gothic" w:hAnsi="Arial" w:cs="Arial"/>
          <w:u w:val="single"/>
        </w:rPr>
        <w:t xml:space="preserve"> (CASp)</w:t>
      </w:r>
      <w:r w:rsidR="00374D58" w:rsidRPr="00BF71C1">
        <w:rPr>
          <w:rFonts w:ascii="Arial" w:eastAsia="MS Gothic" w:hAnsi="Arial" w:cs="Arial"/>
        </w:rPr>
        <w:t xml:space="preserve">. </w:t>
      </w:r>
    </w:p>
    <w:p w14:paraId="5E576F66" w14:textId="613C7239" w:rsidR="00374D58" w:rsidRDefault="00374D58" w:rsidP="00374D58">
      <w:pPr>
        <w:pStyle w:val="ListParagraph"/>
        <w:ind w:left="1872"/>
        <w:rPr>
          <w:rFonts w:ascii="Arial" w:eastAsia="MS Gothic" w:hAnsi="Arial" w:cs="Arial"/>
        </w:rPr>
      </w:pPr>
      <w:r w:rsidRPr="00BF71C1">
        <w:rPr>
          <w:rFonts w:ascii="Arial" w:eastAsia="MS Gothic" w:hAnsi="Arial" w:cs="Arial"/>
        </w:rPr>
        <w:t xml:space="preserve">The </w:t>
      </w:r>
      <w:r w:rsidRPr="00217B9F">
        <w:rPr>
          <w:rFonts w:ascii="Arial" w:eastAsia="MS Gothic" w:hAnsi="Arial" w:cs="Arial"/>
        </w:rPr>
        <w:t>Landlord shall provide a copy of the CASp report to the Tenant at least forty-eight (48) hours prior to the execution of this Agreement.</w:t>
      </w:r>
    </w:p>
    <w:p w14:paraId="342FE66E" w14:textId="15FBD877" w:rsidR="00374D58" w:rsidRPr="00374D58" w:rsidRDefault="00374D58" w:rsidP="00374D58">
      <w:pPr>
        <w:pStyle w:val="ListParagraph"/>
        <w:ind w:left="1440"/>
        <w:rPr>
          <w:rFonts w:ascii="Arial" w:hAnsi="Arial"/>
        </w:rPr>
      </w:pPr>
      <w:r>
        <w:rPr>
          <w:rFonts w:ascii="Arial" w:eastAsia="MS Gothic" w:hAnsi="Arial" w:cs="Arial"/>
        </w:rPr>
        <w:br/>
      </w:r>
      <w:sdt>
        <w:sdtPr>
          <w:rPr>
            <w:rFonts w:ascii="Segoe UI Symbol" w:eastAsia="MS Gothic" w:hAnsi="Segoe UI Symbol" w:cs="Segoe UI Symbol"/>
          </w:rPr>
          <w:id w:val="-276569014"/>
          <w14:checkbox>
            <w14:checked w14:val="0"/>
            <w14:checkedState w14:val="2612" w14:font="MS Gothic"/>
            <w14:uncheckedState w14:val="2610" w14:font="MS Gothic"/>
          </w14:checkbox>
        </w:sdtPr>
        <w:sdtContent>
          <w:r w:rsidRPr="00BF71C1">
            <w:rPr>
              <w:rFonts w:ascii="Segoe UI Symbol" w:eastAsia="MS Gothic" w:hAnsi="Segoe UI Symbol" w:cs="Segoe UI Symbol"/>
            </w:rPr>
            <w:t>☐</w:t>
          </w:r>
        </w:sdtContent>
      </w:sdt>
      <w:r w:rsidRPr="00BF71C1">
        <w:rPr>
          <w:rFonts w:ascii="Arial" w:eastAsia="MS Gothic" w:hAnsi="Arial" w:cs="Arial"/>
        </w:rPr>
        <w:t xml:space="preserve"> - </w:t>
      </w:r>
      <w:r w:rsidRPr="00BF71C1">
        <w:rPr>
          <w:rFonts w:ascii="Arial" w:eastAsia="MS Gothic" w:hAnsi="Arial" w:cs="Arial"/>
          <w:u w:val="single"/>
        </w:rPr>
        <w:t>H</w:t>
      </w:r>
      <w:r>
        <w:rPr>
          <w:rFonts w:ascii="Arial" w:eastAsia="MS Gothic" w:hAnsi="Arial" w:cs="Arial"/>
          <w:u w:val="single"/>
        </w:rPr>
        <w:t>as</w:t>
      </w:r>
      <w:r w:rsidRPr="00BF71C1">
        <w:rPr>
          <w:rFonts w:ascii="Arial" w:eastAsia="MS Gothic" w:hAnsi="Arial" w:cs="Arial"/>
          <w:u w:val="single"/>
        </w:rPr>
        <w:t xml:space="preserve"> NOT undergone inspection by a Certified Access Specialist</w:t>
      </w:r>
      <w:r w:rsidRPr="007E36CD">
        <w:rPr>
          <w:rFonts w:ascii="Arial" w:eastAsia="MS Gothic" w:hAnsi="Arial" w:cs="Arial"/>
        </w:rPr>
        <w:t>.</w:t>
      </w:r>
      <w:r>
        <w:rPr>
          <w:rFonts w:ascii="Arial" w:eastAsia="MS Gothic" w:hAnsi="Arial" w:cs="Arial"/>
        </w:rPr>
        <w:br/>
      </w:r>
    </w:p>
    <w:p w14:paraId="579A70A6" w14:textId="187FCE26" w:rsidR="00374D58" w:rsidRPr="00BF71C1" w:rsidRDefault="00374D58" w:rsidP="00374D58">
      <w:pPr>
        <w:pStyle w:val="ListParagraph"/>
        <w:numPr>
          <w:ilvl w:val="0"/>
          <w:numId w:val="4"/>
        </w:numPr>
        <w:ind w:left="900" w:hanging="900"/>
        <w:rPr>
          <w:rFonts w:ascii="Arial" w:hAnsi="Arial"/>
        </w:rPr>
      </w:pPr>
      <w:r>
        <w:rPr>
          <w:rFonts w:ascii="Arial" w:hAnsi="Arial"/>
          <w:b/>
          <w:bCs/>
        </w:rPr>
        <w:t>CASP CERTIFICATE</w:t>
      </w:r>
      <w:r w:rsidRPr="00BF71C1">
        <w:rPr>
          <w:rFonts w:ascii="Arial" w:hAnsi="Arial"/>
        </w:rPr>
        <w:t>.</w:t>
      </w:r>
      <w:r>
        <w:rPr>
          <w:rFonts w:ascii="Arial" w:hAnsi="Arial"/>
        </w:rPr>
        <w:t xml:space="preserve"> </w:t>
      </w:r>
      <w:r w:rsidRPr="00BF71C1">
        <w:rPr>
          <w:rFonts w:ascii="Arial" w:hAnsi="Arial" w:cs="Arial"/>
          <w:bCs/>
        </w:rPr>
        <w:t>A disability access inspection certificate: (check one)</w:t>
      </w:r>
    </w:p>
    <w:p w14:paraId="5AE07229" w14:textId="77777777" w:rsidR="00374D58" w:rsidRDefault="00374D58" w:rsidP="00374D58">
      <w:pPr>
        <w:pStyle w:val="ListParagraph"/>
        <w:autoSpaceDE w:val="0"/>
        <w:autoSpaceDN w:val="0"/>
        <w:adjustRightInd w:val="0"/>
        <w:spacing w:after="120"/>
        <w:ind w:firstLine="180"/>
        <w:rPr>
          <w:rFonts w:ascii="Arial" w:hAnsi="Arial" w:cs="Arial"/>
        </w:rPr>
      </w:pPr>
    </w:p>
    <w:p w14:paraId="6F888847" w14:textId="77777777" w:rsidR="00374D58" w:rsidRPr="007E36CD" w:rsidRDefault="00000000" w:rsidP="00374D58">
      <w:pPr>
        <w:pStyle w:val="ListParagraph"/>
        <w:autoSpaceDE w:val="0"/>
        <w:autoSpaceDN w:val="0"/>
        <w:adjustRightInd w:val="0"/>
        <w:ind w:left="1440"/>
        <w:rPr>
          <w:rFonts w:ascii="Arial" w:hAnsi="Arial" w:cs="Arial"/>
        </w:rPr>
      </w:pPr>
      <w:sdt>
        <w:sdtPr>
          <w:rPr>
            <w:rFonts w:ascii="Arial" w:hAnsi="Arial" w:cs="Arial"/>
          </w:rPr>
          <w:id w:val="-935827488"/>
          <w14:checkbox>
            <w14:checked w14:val="0"/>
            <w14:checkedState w14:val="2612" w14:font="MS Gothic"/>
            <w14:uncheckedState w14:val="2610" w14:font="MS Gothic"/>
          </w14:checkbox>
        </w:sdtPr>
        <w:sdtContent>
          <w:r w:rsidR="00374D58" w:rsidRPr="003F5B64">
            <w:rPr>
              <w:rFonts w:ascii="Segoe UI Symbol" w:eastAsia="MS Gothic" w:hAnsi="Segoe UI Symbol" w:cs="Segoe UI Symbol"/>
            </w:rPr>
            <w:t>☐</w:t>
          </w:r>
        </w:sdtContent>
      </w:sdt>
      <w:r w:rsidR="00374D58" w:rsidRPr="00373353">
        <w:rPr>
          <w:rFonts w:ascii="Arial" w:eastAsia="MS Gothic" w:hAnsi="Arial" w:cs="Arial"/>
        </w:rPr>
        <w:t xml:space="preserve"> - </w:t>
      </w:r>
      <w:r w:rsidR="00374D58" w:rsidRPr="005C08F8">
        <w:rPr>
          <w:rFonts w:ascii="Arial" w:eastAsia="MS Gothic" w:hAnsi="Arial" w:cs="Arial"/>
          <w:u w:val="single"/>
        </w:rPr>
        <w:t xml:space="preserve">Has </w:t>
      </w:r>
      <w:r w:rsidR="00374D58">
        <w:rPr>
          <w:rFonts w:ascii="Arial" w:eastAsia="MS Gothic" w:hAnsi="Arial" w:cs="Arial"/>
          <w:u w:val="single"/>
        </w:rPr>
        <w:t xml:space="preserve">been issued to the </w:t>
      </w:r>
      <w:r w:rsidR="00374D58" w:rsidRPr="00234CA2">
        <w:rPr>
          <w:rFonts w:ascii="Arial" w:eastAsia="MS Gothic" w:hAnsi="Arial" w:cs="Arial"/>
          <w:u w:val="single"/>
        </w:rPr>
        <w:t>Premises</w:t>
      </w:r>
      <w:r w:rsidR="00374D58">
        <w:rPr>
          <w:rFonts w:ascii="Arial" w:eastAsia="MS Gothic" w:hAnsi="Arial" w:cs="Arial"/>
        </w:rPr>
        <w:t xml:space="preserve">. </w:t>
      </w:r>
      <w:r w:rsidR="00374D58">
        <w:rPr>
          <w:rFonts w:ascii="Arial" w:hAnsi="Arial" w:cs="Arial"/>
        </w:rPr>
        <w:t xml:space="preserve">The Landlord shall provide </w:t>
      </w:r>
      <w:r w:rsidR="00374D58" w:rsidRPr="00800792">
        <w:rPr>
          <w:rFonts w:ascii="Arial" w:hAnsi="Arial" w:cs="Arial"/>
        </w:rPr>
        <w:t xml:space="preserve">a copy </w:t>
      </w:r>
    </w:p>
    <w:p w14:paraId="63E0EF85" w14:textId="77777777" w:rsidR="00374D58" w:rsidRPr="007E36CD" w:rsidRDefault="00374D58" w:rsidP="00374D58">
      <w:pPr>
        <w:pStyle w:val="ListParagraph"/>
        <w:autoSpaceDE w:val="0"/>
        <w:autoSpaceDN w:val="0"/>
        <w:adjustRightInd w:val="0"/>
        <w:ind w:left="1872"/>
        <w:rPr>
          <w:rFonts w:ascii="Arial" w:hAnsi="Arial" w:cs="Arial"/>
        </w:rPr>
      </w:pPr>
      <w:r w:rsidRPr="00800792">
        <w:rPr>
          <w:rFonts w:ascii="Arial" w:hAnsi="Arial" w:cs="Arial"/>
        </w:rPr>
        <w:t>of the current disability access inspection certificate and any inspection report</w:t>
      </w:r>
      <w:r>
        <w:rPr>
          <w:rFonts w:ascii="Arial" w:hAnsi="Arial" w:cs="Arial"/>
        </w:rPr>
        <w:t>, if</w:t>
      </w:r>
      <w:r w:rsidRPr="00800792">
        <w:rPr>
          <w:rFonts w:ascii="Arial" w:hAnsi="Arial" w:cs="Arial"/>
        </w:rPr>
        <w:t xml:space="preserve"> not already </w:t>
      </w:r>
      <w:r>
        <w:rPr>
          <w:rFonts w:ascii="Arial" w:hAnsi="Arial" w:cs="Arial"/>
        </w:rPr>
        <w:t xml:space="preserve">provided, to the Tenant </w:t>
      </w:r>
      <w:r w:rsidRPr="00800792">
        <w:rPr>
          <w:rFonts w:ascii="Arial" w:hAnsi="Arial" w:cs="Arial"/>
        </w:rPr>
        <w:t>within seven</w:t>
      </w:r>
      <w:r>
        <w:rPr>
          <w:rFonts w:ascii="Arial" w:hAnsi="Arial" w:cs="Arial"/>
        </w:rPr>
        <w:t xml:space="preserve"> (7)</w:t>
      </w:r>
      <w:r w:rsidRPr="00800792">
        <w:rPr>
          <w:rFonts w:ascii="Arial" w:hAnsi="Arial" w:cs="Arial"/>
        </w:rPr>
        <w:t xml:space="preserve"> days of the date of the execution of</w:t>
      </w:r>
      <w:r>
        <w:rPr>
          <w:rFonts w:ascii="Arial" w:hAnsi="Arial" w:cs="Arial"/>
        </w:rPr>
        <w:t xml:space="preserve"> this</w:t>
      </w:r>
      <w:r w:rsidRPr="00800792">
        <w:rPr>
          <w:rFonts w:ascii="Arial" w:hAnsi="Arial" w:cs="Arial"/>
        </w:rPr>
        <w:t xml:space="preserve"> </w:t>
      </w:r>
      <w:r>
        <w:rPr>
          <w:rFonts w:ascii="Arial" w:hAnsi="Arial" w:cs="Arial"/>
        </w:rPr>
        <w:t>Agreement.</w:t>
      </w:r>
      <w:r>
        <w:rPr>
          <w:rFonts w:ascii="Arial" w:hAnsi="Arial" w:cs="Arial"/>
        </w:rPr>
        <w:br/>
      </w:r>
    </w:p>
    <w:p w14:paraId="4751B887" w14:textId="2FBF76A4" w:rsidR="00374D58" w:rsidRPr="007E36CD" w:rsidRDefault="00000000" w:rsidP="00374D58">
      <w:pPr>
        <w:pStyle w:val="ListParagraph"/>
        <w:autoSpaceDE w:val="0"/>
        <w:autoSpaceDN w:val="0"/>
        <w:adjustRightInd w:val="0"/>
        <w:ind w:left="1440"/>
        <w:rPr>
          <w:rFonts w:ascii="Arial" w:eastAsia="MS Gothic" w:hAnsi="Arial" w:cs="Arial"/>
        </w:rPr>
      </w:pPr>
      <w:sdt>
        <w:sdtPr>
          <w:rPr>
            <w:rFonts w:ascii="Arial" w:hAnsi="Arial" w:cs="Arial"/>
          </w:rPr>
          <w:id w:val="1729343138"/>
          <w14:checkbox>
            <w14:checked w14:val="0"/>
            <w14:checkedState w14:val="2612" w14:font="MS Gothic"/>
            <w14:uncheckedState w14:val="2610" w14:font="MS Gothic"/>
          </w14:checkbox>
        </w:sdtPr>
        <w:sdtContent>
          <w:r w:rsidR="00374D58" w:rsidRPr="003F5B64">
            <w:rPr>
              <w:rFonts w:ascii="Segoe UI Symbol" w:eastAsia="MS Gothic" w:hAnsi="Segoe UI Symbol" w:cs="Segoe UI Symbol"/>
            </w:rPr>
            <w:t>☐</w:t>
          </w:r>
        </w:sdtContent>
      </w:sdt>
      <w:r w:rsidR="00374D58" w:rsidRPr="00373353">
        <w:rPr>
          <w:rFonts w:ascii="Arial" w:eastAsia="MS Gothic" w:hAnsi="Arial" w:cs="Arial"/>
        </w:rPr>
        <w:t xml:space="preserve"> - </w:t>
      </w:r>
      <w:r w:rsidR="00374D58">
        <w:rPr>
          <w:rFonts w:ascii="Arial" w:eastAsia="MS Gothic" w:hAnsi="Arial" w:cs="Arial"/>
          <w:u w:val="single"/>
        </w:rPr>
        <w:t>Has NOT</w:t>
      </w:r>
      <w:r w:rsidR="00374D58" w:rsidRPr="005C08F8">
        <w:rPr>
          <w:rFonts w:ascii="Arial" w:eastAsia="MS Gothic" w:hAnsi="Arial" w:cs="Arial"/>
          <w:u w:val="single"/>
        </w:rPr>
        <w:t xml:space="preserve"> </w:t>
      </w:r>
      <w:r w:rsidR="00374D58">
        <w:rPr>
          <w:rFonts w:ascii="Arial" w:eastAsia="MS Gothic" w:hAnsi="Arial" w:cs="Arial"/>
          <w:u w:val="single"/>
        </w:rPr>
        <w:t xml:space="preserve">been issued to the </w:t>
      </w:r>
      <w:r w:rsidR="00374D58" w:rsidRPr="00234CA2">
        <w:rPr>
          <w:rFonts w:ascii="Arial" w:eastAsia="MS Gothic" w:hAnsi="Arial" w:cs="Arial"/>
          <w:u w:val="single"/>
        </w:rPr>
        <w:t>Premises</w:t>
      </w:r>
      <w:r w:rsidR="00374D58">
        <w:rPr>
          <w:rFonts w:ascii="Arial" w:eastAsia="MS Gothic" w:hAnsi="Arial" w:cs="Arial"/>
        </w:rPr>
        <w:t xml:space="preserve">. </w:t>
      </w:r>
      <w:r w:rsidR="00374D58" w:rsidRPr="00800792">
        <w:rPr>
          <w:rFonts w:ascii="Arial" w:eastAsia="MS Gothic" w:hAnsi="Arial" w:cs="Arial"/>
        </w:rPr>
        <w:t xml:space="preserve">The following disclosure is </w:t>
      </w:r>
    </w:p>
    <w:p w14:paraId="7C6AF9A3" w14:textId="1355E1E0" w:rsidR="00374D58" w:rsidRDefault="00374D58" w:rsidP="00374D58">
      <w:pPr>
        <w:pStyle w:val="ListParagraph"/>
        <w:autoSpaceDE w:val="0"/>
        <w:autoSpaceDN w:val="0"/>
        <w:adjustRightInd w:val="0"/>
        <w:ind w:left="1872"/>
        <w:rPr>
          <w:rFonts w:ascii="Arial" w:eastAsia="MS Gothic" w:hAnsi="Arial" w:cs="Arial"/>
        </w:rPr>
      </w:pPr>
      <w:r w:rsidRPr="00800792">
        <w:rPr>
          <w:rFonts w:ascii="Arial" w:eastAsia="MS Gothic" w:hAnsi="Arial" w:cs="Arial"/>
        </w:rPr>
        <w:t>hereby made pursuant to Cal. Civ. Code § 1938(e):</w:t>
      </w:r>
    </w:p>
    <w:p w14:paraId="4C76C730" w14:textId="77777777" w:rsidR="00374D58" w:rsidRPr="00374D58" w:rsidRDefault="00374D58" w:rsidP="00374D58">
      <w:pPr>
        <w:pStyle w:val="ListParagraph"/>
        <w:autoSpaceDE w:val="0"/>
        <w:autoSpaceDN w:val="0"/>
        <w:adjustRightInd w:val="0"/>
        <w:ind w:left="1872"/>
        <w:rPr>
          <w:rFonts w:ascii="Arial" w:eastAsia="MS Gothic" w:hAnsi="Arial" w:cs="Arial"/>
        </w:rPr>
      </w:pPr>
    </w:p>
    <w:p w14:paraId="0888C15D" w14:textId="77777777" w:rsidR="00374D58" w:rsidRDefault="00374D58" w:rsidP="00374D58">
      <w:pPr>
        <w:ind w:left="1872"/>
        <w:rPr>
          <w:rFonts w:ascii="Arial" w:hAnsi="Arial" w:cs="Arial"/>
        </w:rPr>
      </w:pPr>
      <w:r w:rsidRPr="00BF71C1">
        <w:rPr>
          <w:rFonts w:ascii="Arial" w:hAnsi="Arial" w:cs="Arial"/>
        </w:rPr>
        <w:t>“A Certified Access Specialist (CASp) can inspect the subject premises and determine whether the subject premises comply with all of the applicable construction-related accessibility standards under state law. Although state law does not require a CASp inspection of the subject premises, the commercial property owner or lessor may not prohibit the lessee or tenant from obtaining a CASp inspection of the subject premises for the occupancy or potential occupancy of the lessee or tenant, if requested by the lessee or tenant. The parties shall mutually agree on the arrangements for the time and manner of the CASp inspection, the payment of the fee for the CASp inspection, and the cost of making any repairs necessary to correct violations of construction-related accessibility standards within the premises.”</w:t>
      </w:r>
    </w:p>
    <w:p w14:paraId="0E8DF624" w14:textId="77777777" w:rsidR="00374D58" w:rsidRDefault="00374D58" w:rsidP="00374D58">
      <w:pPr>
        <w:ind w:left="1872"/>
        <w:rPr>
          <w:rFonts w:ascii="Arial" w:hAnsi="Arial" w:cs="Arial"/>
        </w:rPr>
      </w:pPr>
    </w:p>
    <w:p w14:paraId="648D1773" w14:textId="77777777" w:rsidR="00374D58" w:rsidRDefault="00374D58" w:rsidP="00374D58">
      <w:pPr>
        <w:ind w:left="1872"/>
        <w:rPr>
          <w:rFonts w:ascii="Arial" w:hAnsi="Arial" w:cs="Arial"/>
        </w:rPr>
      </w:pPr>
    </w:p>
    <w:p w14:paraId="35284A16" w14:textId="77777777" w:rsidR="00374D58" w:rsidRDefault="00374D58" w:rsidP="00374D58">
      <w:pPr>
        <w:ind w:left="1872"/>
        <w:rPr>
          <w:rFonts w:ascii="Arial" w:hAnsi="Arial" w:cs="Arial"/>
        </w:rPr>
      </w:pPr>
    </w:p>
    <w:p w14:paraId="029378AE" w14:textId="77777777" w:rsidR="00374D58" w:rsidRDefault="00374D58" w:rsidP="00374D58">
      <w:pPr>
        <w:ind w:left="1872"/>
        <w:rPr>
          <w:rFonts w:ascii="Arial" w:hAnsi="Arial" w:cs="Arial"/>
        </w:rPr>
      </w:pPr>
    </w:p>
    <w:p w14:paraId="292FFE86" w14:textId="77777777" w:rsidR="00374D58" w:rsidRDefault="00374D58" w:rsidP="00374D58">
      <w:pPr>
        <w:ind w:left="1872"/>
        <w:rPr>
          <w:rFonts w:ascii="Arial" w:hAnsi="Arial" w:cs="Arial"/>
        </w:rPr>
      </w:pPr>
    </w:p>
    <w:p w14:paraId="1F2FB48B" w14:textId="77777777" w:rsidR="00374D58" w:rsidRDefault="00374D58" w:rsidP="00374D58">
      <w:pPr>
        <w:ind w:left="1872"/>
        <w:rPr>
          <w:rFonts w:ascii="Arial" w:hAnsi="Arial" w:cs="Arial"/>
        </w:rPr>
      </w:pPr>
    </w:p>
    <w:p w14:paraId="7501103E" w14:textId="77777777" w:rsidR="00374D58" w:rsidRDefault="00374D58" w:rsidP="00374D58">
      <w:pPr>
        <w:ind w:left="1872"/>
        <w:rPr>
          <w:rFonts w:ascii="Arial" w:hAnsi="Arial" w:cs="Arial"/>
        </w:rPr>
      </w:pPr>
    </w:p>
    <w:p w14:paraId="5456CC2F" w14:textId="77777777" w:rsidR="00374D58" w:rsidRDefault="00374D58" w:rsidP="00374D58">
      <w:pPr>
        <w:ind w:left="1872"/>
        <w:rPr>
          <w:rFonts w:ascii="Arial" w:hAnsi="Arial" w:cs="Arial"/>
        </w:rPr>
      </w:pPr>
    </w:p>
    <w:p w14:paraId="66AD7B0C" w14:textId="77777777" w:rsidR="00374D58" w:rsidRDefault="00374D58" w:rsidP="00374D58">
      <w:pPr>
        <w:ind w:left="1872"/>
        <w:rPr>
          <w:rFonts w:ascii="Arial" w:hAnsi="Arial" w:cs="Arial"/>
        </w:rPr>
      </w:pPr>
    </w:p>
    <w:p w14:paraId="16CC8C23" w14:textId="77777777" w:rsidR="00374D58" w:rsidRDefault="00374D58" w:rsidP="00374D58">
      <w:pPr>
        <w:ind w:left="1872"/>
        <w:rPr>
          <w:rFonts w:ascii="Arial" w:hAnsi="Arial" w:cs="Arial"/>
        </w:rPr>
      </w:pPr>
    </w:p>
    <w:p w14:paraId="79BA111D" w14:textId="77777777" w:rsidR="00374D58" w:rsidRDefault="00374D58" w:rsidP="00374D58">
      <w:pPr>
        <w:ind w:left="1872"/>
        <w:rPr>
          <w:rFonts w:ascii="Arial" w:hAnsi="Arial" w:cs="Arial"/>
        </w:rPr>
      </w:pPr>
    </w:p>
    <w:p w14:paraId="24895111" w14:textId="77777777" w:rsidR="00374D58" w:rsidRDefault="00374D58" w:rsidP="00374D58">
      <w:pPr>
        <w:ind w:left="1872"/>
        <w:rPr>
          <w:rFonts w:ascii="Arial" w:hAnsi="Arial" w:cs="Arial"/>
        </w:rPr>
      </w:pPr>
    </w:p>
    <w:p w14:paraId="42F7BDBC" w14:textId="77777777" w:rsidR="00374D58" w:rsidRPr="00374D58" w:rsidRDefault="00374D58" w:rsidP="00374D58">
      <w:pPr>
        <w:jc w:val="center"/>
        <w:rPr>
          <w:rFonts w:ascii="Arial" w:hAnsi="Arial" w:cs="Arial"/>
          <w:b/>
          <w:bCs/>
        </w:rPr>
      </w:pPr>
      <w:r>
        <w:rPr>
          <w:rFonts w:ascii="Arial" w:hAnsi="Arial" w:cs="Arial"/>
          <w:b/>
          <w:bCs/>
          <w:sz w:val="32"/>
          <w:szCs w:val="32"/>
        </w:rPr>
        <w:lastRenderedPageBreak/>
        <w:t>REQUIRED DISCLOSURES</w:t>
      </w:r>
      <w:r w:rsidRPr="006E7C55">
        <w:rPr>
          <w:rFonts w:ascii="Arial" w:hAnsi="Arial"/>
        </w:rPr>
        <w:br/>
      </w:r>
    </w:p>
    <w:p w14:paraId="6A9F442B" w14:textId="77777777" w:rsidR="00374D58" w:rsidRDefault="00374D58" w:rsidP="00374D58">
      <w:pPr>
        <w:pStyle w:val="ListParagraph"/>
        <w:numPr>
          <w:ilvl w:val="0"/>
          <w:numId w:val="5"/>
        </w:numPr>
        <w:ind w:left="900" w:hanging="900"/>
        <w:rPr>
          <w:rFonts w:ascii="Arial" w:hAnsi="Arial"/>
        </w:rPr>
      </w:pPr>
      <w:r w:rsidRPr="00D83935">
        <w:rPr>
          <w:rFonts w:ascii="Arial" w:hAnsi="Arial"/>
          <w:b/>
          <w:bCs/>
        </w:rPr>
        <w:t>DEATH ON THE PREMISES</w:t>
      </w:r>
      <w:r>
        <w:rPr>
          <w:rFonts w:ascii="Arial" w:hAnsi="Arial"/>
        </w:rPr>
        <w:t xml:space="preserve">. If there has been a death on the Premises in the last three (3) years, it must be disclosed to the Tenant prior to the execution of this Agreement. If the cause of death was due to </w:t>
      </w:r>
      <w:r w:rsidRPr="00D83935">
        <w:rPr>
          <w:rFonts w:ascii="Arial" w:hAnsi="Arial"/>
        </w:rPr>
        <w:t>the human immunodeficiency virus (HIV) or from AIDS-related complications</w:t>
      </w:r>
      <w:r>
        <w:rPr>
          <w:rFonts w:ascii="Arial" w:hAnsi="Arial"/>
        </w:rPr>
        <w:t>, it does not need to be disclosed.</w:t>
      </w:r>
    </w:p>
    <w:p w14:paraId="7B070646" w14:textId="77777777" w:rsidR="00374D58" w:rsidRPr="00685ECA" w:rsidRDefault="00374D58" w:rsidP="00374D58">
      <w:pPr>
        <w:rPr>
          <w:rFonts w:ascii="Arial" w:hAnsi="Arial"/>
        </w:rPr>
      </w:pPr>
    </w:p>
    <w:p w14:paraId="5290968C" w14:textId="77777777" w:rsidR="00374D58" w:rsidRDefault="00374D58" w:rsidP="00374D58">
      <w:pPr>
        <w:pStyle w:val="ListParagraph"/>
        <w:numPr>
          <w:ilvl w:val="0"/>
          <w:numId w:val="5"/>
        </w:numPr>
        <w:ind w:left="900" w:hanging="900"/>
        <w:rPr>
          <w:rFonts w:ascii="Arial" w:hAnsi="Arial"/>
        </w:rPr>
      </w:pPr>
      <w:r>
        <w:rPr>
          <w:rFonts w:ascii="Arial" w:hAnsi="Arial"/>
          <w:b/>
          <w:bCs/>
        </w:rPr>
        <w:t>METHAMPHETAMINE CONTAMINATION</w:t>
      </w:r>
      <w:r>
        <w:rPr>
          <w:rFonts w:ascii="Arial" w:hAnsi="Arial"/>
        </w:rPr>
        <w:t xml:space="preserve">. </w:t>
      </w:r>
      <w:r w:rsidRPr="00462A20">
        <w:rPr>
          <w:rFonts w:ascii="Arial" w:hAnsi="Arial"/>
        </w:rPr>
        <w:t xml:space="preserve">In accordance with Cal. Civ. Code § 25400.28(b), written notice must be provided to </w:t>
      </w:r>
      <w:r>
        <w:rPr>
          <w:rFonts w:ascii="Arial" w:hAnsi="Arial"/>
        </w:rPr>
        <w:t xml:space="preserve">prospective tenants </w:t>
      </w:r>
      <w:r w:rsidRPr="00462A20">
        <w:rPr>
          <w:rFonts w:ascii="Arial" w:hAnsi="Arial"/>
        </w:rPr>
        <w:t>if the Premises has been contaminated with methamphetamine and is subject to remediation. Additionally, a copy of the remediation order must be given to the Tenant, and the Tenant must state in writing they that have received a copy of this order</w:t>
      </w:r>
      <w:r>
        <w:rPr>
          <w:rFonts w:ascii="Arial" w:hAnsi="Arial"/>
        </w:rPr>
        <w:t>.</w:t>
      </w:r>
    </w:p>
    <w:p w14:paraId="0FEC5373" w14:textId="77777777" w:rsidR="00374D58" w:rsidRPr="00374D58" w:rsidRDefault="00374D58" w:rsidP="00374D58">
      <w:pPr>
        <w:pStyle w:val="ListParagraph"/>
        <w:rPr>
          <w:rFonts w:ascii="Arial" w:hAnsi="Arial"/>
          <w:b/>
          <w:bCs/>
        </w:rPr>
      </w:pPr>
    </w:p>
    <w:p w14:paraId="21AAC2BE" w14:textId="3D8FD950" w:rsidR="00374D58" w:rsidRPr="00374D58" w:rsidRDefault="00374D58" w:rsidP="00374D58">
      <w:pPr>
        <w:pStyle w:val="ListParagraph"/>
        <w:numPr>
          <w:ilvl w:val="0"/>
          <w:numId w:val="5"/>
        </w:numPr>
        <w:ind w:left="900" w:hanging="900"/>
        <w:rPr>
          <w:rFonts w:ascii="Arial" w:hAnsi="Arial"/>
        </w:rPr>
      </w:pPr>
      <w:r w:rsidRPr="00374D58">
        <w:rPr>
          <w:rFonts w:ascii="Arial" w:hAnsi="Arial"/>
          <w:b/>
          <w:bCs/>
        </w:rPr>
        <w:t>TOXIC MOLD</w:t>
      </w:r>
      <w:r w:rsidRPr="00374D58">
        <w:rPr>
          <w:rFonts w:ascii="Arial" w:hAnsi="Arial"/>
        </w:rPr>
        <w:t>. The Tenant must be informed in writing if the Landlord knows that mold is present on the Premises and the mold either exceeds the exposure limits established by Cal. Health &amp; Saf. Code § 26103(a), (b) or poses a health threat according to California Department of Public Health’s guidelines. This disclosure is not required if the Tenant is responsible for maintenance of the Premises, including any remedial action.</w:t>
      </w:r>
      <w:r w:rsidRPr="00374D58">
        <w:rPr>
          <w:rFonts w:ascii="Arial" w:hAnsi="Arial"/>
        </w:rPr>
        <w:br/>
      </w:r>
      <w:r w:rsidRPr="00374D58">
        <w:rPr>
          <w:rFonts w:ascii="Arial" w:hAnsi="Arial" w:cs="Arial"/>
        </w:rPr>
        <w:br/>
      </w:r>
    </w:p>
    <w:sectPr w:rsidR="00374D58" w:rsidRPr="00374D58" w:rsidSect="004C08B7">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9FFA" w14:textId="77777777" w:rsidR="004C08B7" w:rsidRDefault="004C08B7">
      <w:r>
        <w:separator/>
      </w:r>
    </w:p>
  </w:endnote>
  <w:endnote w:type="continuationSeparator" w:id="0">
    <w:p w14:paraId="53C72757" w14:textId="77777777" w:rsidR="004C08B7" w:rsidRDefault="004C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4ADE14C5">
          <wp:simplePos x="0" y="0"/>
          <wp:positionH relativeFrom="column">
            <wp:posOffset>33655</wp:posOffset>
          </wp:positionH>
          <wp:positionV relativeFrom="paragraph">
            <wp:posOffset>-233257</wp:posOffset>
          </wp:positionV>
          <wp:extent cx="707390" cy="338455"/>
          <wp:effectExtent l="0" t="0" r="0" b="0"/>
          <wp:wrapNone/>
          <wp:docPr id="1842315701" name="Picture 184231570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9D06" w14:textId="77777777" w:rsidR="004C08B7" w:rsidRDefault="004C08B7">
      <w:r>
        <w:separator/>
      </w:r>
    </w:p>
  </w:footnote>
  <w:footnote w:type="continuationSeparator" w:id="0">
    <w:p w14:paraId="1627742E" w14:textId="77777777" w:rsidR="004C08B7" w:rsidRDefault="004C0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3A513A"/>
    <w:multiLevelType w:val="hybridMultilevel"/>
    <w:tmpl w:val="9F5E5DC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A37FC"/>
    <w:multiLevelType w:val="hybridMultilevel"/>
    <w:tmpl w:val="9F5E5DC8"/>
    <w:lvl w:ilvl="0" w:tplc="FFFFFFFF">
      <w:start w:val="1"/>
      <w:numFmt w:val="decimal"/>
      <w:lvlText w:val="%1."/>
      <w:lvlJc w:val="left"/>
      <w:pPr>
        <w:ind w:left="3600" w:hanging="360"/>
      </w:pPr>
      <w:rPr>
        <w:rFonts w:hint="default"/>
        <w:b/>
      </w:rPr>
    </w:lvl>
    <w:lvl w:ilvl="1" w:tplc="FFFFFFFF">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num w:numId="1" w16cid:durableId="1012337118">
    <w:abstractNumId w:val="0"/>
  </w:num>
  <w:num w:numId="2" w16cid:durableId="557908732">
    <w:abstractNumId w:val="3"/>
  </w:num>
  <w:num w:numId="3" w16cid:durableId="1539008967">
    <w:abstractNumId w:val="1"/>
  </w:num>
  <w:num w:numId="4" w16cid:durableId="1483617183">
    <w:abstractNumId w:val="2"/>
  </w:num>
  <w:num w:numId="5" w16cid:durableId="2082290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1544F"/>
    <w:rsid w:val="00133891"/>
    <w:rsid w:val="00173397"/>
    <w:rsid w:val="001E02C3"/>
    <w:rsid w:val="001F15DF"/>
    <w:rsid w:val="0020140E"/>
    <w:rsid w:val="00205D23"/>
    <w:rsid w:val="0021035F"/>
    <w:rsid w:val="0021072F"/>
    <w:rsid w:val="00240A34"/>
    <w:rsid w:val="002433AE"/>
    <w:rsid w:val="00263364"/>
    <w:rsid w:val="00282543"/>
    <w:rsid w:val="00294335"/>
    <w:rsid w:val="002B7039"/>
    <w:rsid w:val="002D600B"/>
    <w:rsid w:val="002F6718"/>
    <w:rsid w:val="003064B6"/>
    <w:rsid w:val="00345BC6"/>
    <w:rsid w:val="00361A8F"/>
    <w:rsid w:val="00363C79"/>
    <w:rsid w:val="00374D58"/>
    <w:rsid w:val="00374F42"/>
    <w:rsid w:val="003B5407"/>
    <w:rsid w:val="003C06EF"/>
    <w:rsid w:val="003C6753"/>
    <w:rsid w:val="003D58FE"/>
    <w:rsid w:val="003E1DFE"/>
    <w:rsid w:val="00402970"/>
    <w:rsid w:val="00435196"/>
    <w:rsid w:val="00460BB2"/>
    <w:rsid w:val="004743CC"/>
    <w:rsid w:val="00477C47"/>
    <w:rsid w:val="00481A68"/>
    <w:rsid w:val="00482A7E"/>
    <w:rsid w:val="00487DCF"/>
    <w:rsid w:val="004A6D51"/>
    <w:rsid w:val="004C08B7"/>
    <w:rsid w:val="004F291F"/>
    <w:rsid w:val="00515967"/>
    <w:rsid w:val="00522233"/>
    <w:rsid w:val="00547BBC"/>
    <w:rsid w:val="00565BBC"/>
    <w:rsid w:val="005B0825"/>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1"/>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15406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Commercial Lease Agreement</dc:title>
  <dc:subject/>
  <dc:creator>eSign</dc:creator>
  <cp:keywords/>
  <dc:description/>
  <cp:lastModifiedBy>Corbin Steele</cp:lastModifiedBy>
  <cp:revision>6</cp:revision>
  <dcterms:created xsi:type="dcterms:W3CDTF">2024-01-18T16:13:00Z</dcterms:created>
  <dcterms:modified xsi:type="dcterms:W3CDTF">2024-01-29T19:25:00Z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