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37563950" w:rsidR="00700CC7" w:rsidRPr="00F23D60" w:rsidRDefault="00A36468" w:rsidP="00666898">
      <w:pPr>
        <w:tabs>
          <w:tab w:val="left" w:pos="502"/>
          <w:tab w:val="right" w:leader="underscore" w:pos="10621"/>
        </w:tabs>
        <w:spacing w:line="276" w:lineRule="auto"/>
        <w:jc w:val="center"/>
        <w:rPr>
          <w:rFonts w:ascii="Arial" w:hAnsi="Arial" w:cs="Arial"/>
          <w:b/>
          <w:bCs/>
          <w:sz w:val="28"/>
          <w:szCs w:val="28"/>
        </w:rPr>
      </w:pPr>
      <w:r w:rsidRPr="00A36468">
        <w:rPr>
          <w:rFonts w:ascii="Arial" w:hAnsi="Arial" w:cs="Arial"/>
          <w:b/>
          <w:bCs/>
          <w:sz w:val="28"/>
          <w:szCs w:val="28"/>
        </w:rPr>
        <w:t>COLORADO</w:t>
      </w:r>
      <w:r w:rsidR="00F23D60" w:rsidRPr="00A36468">
        <w:rPr>
          <w:rFonts w:ascii="Arial" w:hAnsi="Arial" w:cs="Arial"/>
          <w:b/>
          <w:bCs/>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B2220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B2220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B2220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B2220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B2220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B2220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B2220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4147942C"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A36468">
        <w:rPr>
          <w:rFonts w:ascii="Arial" w:hAnsi="Arial" w:cs="Arial"/>
          <w:sz w:val="22"/>
          <w:szCs w:val="22"/>
        </w:rPr>
        <w:t xml:space="preserve"> Colorado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B22207"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B22207"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B22207"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B22207"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B22207"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B22207"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B22207"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B22207"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B22207"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B22207"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B22207"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6D5C3BE"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36468">
        <w:rPr>
          <w:rFonts w:ascii="Arial" w:hAnsi="Arial" w:cs="Arial"/>
          <w:sz w:val="22"/>
          <w:szCs w:val="22"/>
        </w:rPr>
        <w:t xml:space="preserve">Colorado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55B145E6"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A36468">
        <w:rPr>
          <w:rFonts w:ascii="Arial" w:hAnsi="Arial" w:cs="Arial"/>
          <w:sz w:val="22"/>
          <w:szCs w:val="22"/>
        </w:rPr>
        <w:t xml:space="preserve">Colorado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4CBAA5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A36468">
        <w:rPr>
          <w:rFonts w:ascii="Arial" w:hAnsi="Arial" w:cs="Arial"/>
          <w:sz w:val="22"/>
          <w:szCs w:val="22"/>
        </w:rPr>
        <w:t>Colorado</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B2220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B2220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B2220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B2220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B2220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B2220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173FC612" w14:textId="5348D97B" w:rsidR="007939A4" w:rsidRDefault="007939A4" w:rsidP="007939A4">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S</w:t>
      </w:r>
      <w:r>
        <w:rPr>
          <w:rFonts w:ascii="Arial" w:hAnsi="Arial" w:cs="Arial"/>
          <w:b/>
          <w:sz w:val="22"/>
          <w:szCs w:val="22"/>
        </w:rPr>
        <w:t>PECIAL TAXING DISTRICTS</w:t>
      </w:r>
      <w:r w:rsidRPr="00337DF3">
        <w:rPr>
          <w:rFonts w:ascii="Arial" w:hAnsi="Arial" w:cs="Arial"/>
          <w:sz w:val="22"/>
          <w:szCs w:val="22"/>
        </w:rPr>
        <w:t>.</w:t>
      </w:r>
      <w:r>
        <w:rPr>
          <w:rFonts w:ascii="Arial" w:hAnsi="Arial" w:cs="Arial"/>
          <w:sz w:val="22"/>
          <w:szCs w:val="22"/>
        </w:rPr>
        <w:t xml:space="preserve"> Special taxing districts may be subject to general obligation indebtedness that is paid by revenues produced from annual tax levies on the taxable property within such districts. Property owners in such districts may be placed at risk for increased mill levies and tax to support the servicing of such debt where circumstances arise resulting in the inability of such a district to discharge such indebtedness without such an increase in mill levies. Buyers should investigate the special taxing districts in which the property is located by contacting the county treasurer, by reviewing the certificate of taxes due for the property, and by obtaining further information from the board of county commissioners, the county clerk and recorder, or the county assessor. </w:t>
      </w:r>
    </w:p>
    <w:p w14:paraId="4A2F21EF" w14:textId="0D35A8DE" w:rsidR="007939A4" w:rsidRDefault="007939A4" w:rsidP="007939A4">
      <w:pPr>
        <w:tabs>
          <w:tab w:val="left" w:pos="502"/>
          <w:tab w:val="right" w:leader="underscore" w:pos="10621"/>
        </w:tabs>
        <w:spacing w:line="276" w:lineRule="auto"/>
        <w:ind w:left="360"/>
        <w:rPr>
          <w:rFonts w:ascii="Arial" w:hAnsi="Arial" w:cs="Arial"/>
          <w:sz w:val="22"/>
          <w:szCs w:val="22"/>
        </w:rPr>
      </w:pPr>
    </w:p>
    <w:p w14:paraId="1FFA519A" w14:textId="6F8966BD" w:rsidR="007939A4" w:rsidRDefault="007939A4" w:rsidP="007939A4">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w:t>
      </w:r>
      <w:r w:rsidR="00B22207">
        <w:rPr>
          <w:rFonts w:ascii="Arial" w:hAnsi="Arial" w:cs="Arial"/>
          <w:b/>
          <w:sz w:val="22"/>
          <w:szCs w:val="22"/>
        </w:rPr>
        <w:t>3</w:t>
      </w:r>
      <w:r w:rsidRPr="00337DF3">
        <w:rPr>
          <w:rFonts w:ascii="Arial" w:hAnsi="Arial" w:cs="Arial"/>
          <w:b/>
          <w:sz w:val="22"/>
          <w:szCs w:val="22"/>
        </w:rPr>
        <w:t xml:space="preserve">. </w:t>
      </w:r>
      <w:r w:rsidR="00CD652A">
        <w:rPr>
          <w:rFonts w:ascii="Arial" w:hAnsi="Arial" w:cs="Arial"/>
          <w:b/>
          <w:sz w:val="22"/>
          <w:szCs w:val="22"/>
        </w:rPr>
        <w:t>OIL AND G</w:t>
      </w:r>
      <w:r w:rsidRPr="00337DF3">
        <w:rPr>
          <w:rFonts w:ascii="Arial" w:hAnsi="Arial" w:cs="Arial"/>
          <w:b/>
          <w:sz w:val="22"/>
          <w:szCs w:val="22"/>
        </w:rPr>
        <w:t>AS</w:t>
      </w:r>
      <w:r w:rsidR="00CD652A">
        <w:rPr>
          <w:rFonts w:ascii="Arial" w:hAnsi="Arial" w:cs="Arial"/>
          <w:b/>
          <w:sz w:val="22"/>
          <w:szCs w:val="22"/>
        </w:rPr>
        <w:t xml:space="preserve"> ACTIVITY</w:t>
      </w:r>
      <w:r w:rsidRPr="00337DF3">
        <w:rPr>
          <w:rFonts w:ascii="Arial" w:hAnsi="Arial" w:cs="Arial"/>
          <w:sz w:val="22"/>
          <w:szCs w:val="22"/>
        </w:rPr>
        <w:t>.</w:t>
      </w:r>
      <w:r w:rsidR="00CD652A">
        <w:rPr>
          <w:rFonts w:ascii="Arial" w:hAnsi="Arial" w:cs="Arial"/>
          <w:sz w:val="22"/>
          <w:szCs w:val="22"/>
        </w:rPr>
        <w:t xml:space="preserve"> The surface estate of the property may be owned separately from the underlying mineral estate, and transfer of the surface estate may not include transfer of the mineral estate. Third parties may own or lease interests in oil, gas, or other minerals under the surface, and they may enter and use the surface estate to access the mineral estate. </w:t>
      </w:r>
    </w:p>
    <w:p w14:paraId="2FCCD188" w14:textId="5F8F0C4C" w:rsidR="00CD652A" w:rsidRDefault="00CD652A" w:rsidP="007939A4">
      <w:pPr>
        <w:tabs>
          <w:tab w:val="left" w:pos="502"/>
          <w:tab w:val="right" w:leader="underscore" w:pos="10621"/>
        </w:tabs>
        <w:spacing w:line="276" w:lineRule="auto"/>
        <w:rPr>
          <w:rFonts w:ascii="Arial" w:hAnsi="Arial" w:cs="Arial"/>
          <w:sz w:val="22"/>
          <w:szCs w:val="22"/>
        </w:rPr>
      </w:pPr>
    </w:p>
    <w:p w14:paraId="0DD79ACD" w14:textId="2FE6C9B9" w:rsidR="00CD652A" w:rsidRDefault="00CD652A" w:rsidP="007939A4">
      <w:pPr>
        <w:tabs>
          <w:tab w:val="left" w:pos="502"/>
          <w:tab w:val="right" w:leader="underscore" w:pos="10621"/>
        </w:tabs>
        <w:spacing w:line="276" w:lineRule="auto"/>
        <w:rPr>
          <w:rFonts w:ascii="Arial" w:hAnsi="Arial" w:cs="Arial"/>
          <w:sz w:val="22"/>
          <w:szCs w:val="22"/>
        </w:rPr>
      </w:pPr>
      <w:r>
        <w:rPr>
          <w:rFonts w:ascii="Arial" w:hAnsi="Arial" w:cs="Arial"/>
          <w:sz w:val="22"/>
          <w:szCs w:val="22"/>
        </w:rPr>
        <w:t xml:space="preserve">The use of the surface estate to access the minerals may be governed by a surface use agreement, a memorandum or other notice of which may be recorded with the county clerk and recorder. </w:t>
      </w:r>
    </w:p>
    <w:p w14:paraId="43D58829" w14:textId="71D57172" w:rsidR="00CD652A" w:rsidRDefault="00CD652A" w:rsidP="007939A4">
      <w:pPr>
        <w:tabs>
          <w:tab w:val="left" w:pos="502"/>
          <w:tab w:val="right" w:leader="underscore" w:pos="10621"/>
        </w:tabs>
        <w:spacing w:line="276" w:lineRule="auto"/>
        <w:rPr>
          <w:rFonts w:ascii="Arial" w:hAnsi="Arial" w:cs="Arial"/>
          <w:sz w:val="22"/>
          <w:szCs w:val="22"/>
        </w:rPr>
      </w:pPr>
    </w:p>
    <w:p w14:paraId="246E197A" w14:textId="143E31DF" w:rsidR="00CD652A" w:rsidRDefault="00CD652A" w:rsidP="007939A4">
      <w:pPr>
        <w:tabs>
          <w:tab w:val="left" w:pos="502"/>
          <w:tab w:val="right" w:leader="underscore" w:pos="10621"/>
        </w:tabs>
        <w:spacing w:line="276" w:lineRule="auto"/>
        <w:rPr>
          <w:rFonts w:ascii="Arial" w:hAnsi="Arial" w:cs="Arial"/>
          <w:sz w:val="22"/>
          <w:szCs w:val="22"/>
        </w:rPr>
      </w:pPr>
      <w:r>
        <w:rPr>
          <w:rFonts w:ascii="Arial" w:hAnsi="Arial" w:cs="Arial"/>
          <w:sz w:val="22"/>
          <w:szCs w:val="22"/>
        </w:rPr>
        <w:t xml:space="preserve">The oil and gas activity that may occur on or adjacent to this property may include, but is not limited to, surveying, drilling, well completion operations, storage, oil and gas, or production facilities, producing wells, reworking of current wells, and gas gathering and processing facilities. </w:t>
      </w:r>
    </w:p>
    <w:p w14:paraId="310BE9B1" w14:textId="3110EF30" w:rsidR="00CD652A" w:rsidRDefault="00CD652A" w:rsidP="007939A4">
      <w:pPr>
        <w:tabs>
          <w:tab w:val="left" w:pos="502"/>
          <w:tab w:val="right" w:leader="underscore" w:pos="10621"/>
        </w:tabs>
        <w:spacing w:line="276" w:lineRule="auto"/>
        <w:rPr>
          <w:rFonts w:ascii="Arial" w:hAnsi="Arial" w:cs="Arial"/>
          <w:sz w:val="22"/>
          <w:szCs w:val="22"/>
        </w:rPr>
      </w:pPr>
    </w:p>
    <w:p w14:paraId="71B4CDA4" w14:textId="1F923D50" w:rsidR="00CD652A" w:rsidRDefault="00CD652A" w:rsidP="007939A4">
      <w:pPr>
        <w:tabs>
          <w:tab w:val="left" w:pos="502"/>
          <w:tab w:val="right" w:leader="underscore" w:pos="10621"/>
        </w:tabs>
        <w:spacing w:line="276" w:lineRule="auto"/>
        <w:rPr>
          <w:rFonts w:ascii="Arial" w:hAnsi="Arial" w:cs="Arial"/>
          <w:sz w:val="22"/>
          <w:szCs w:val="22"/>
        </w:rPr>
      </w:pPr>
      <w:r>
        <w:rPr>
          <w:rFonts w:ascii="Arial" w:hAnsi="Arial" w:cs="Arial"/>
          <w:sz w:val="22"/>
          <w:szCs w:val="22"/>
        </w:rPr>
        <w:t xml:space="preserve">The buyer is encouraged to seek additional information regarding oil and gas activity on or adjacent to this property, including drilling permit applications. This information may be available from the Colorado oil and gas conservation commission. </w:t>
      </w:r>
    </w:p>
    <w:p w14:paraId="69C102C8" w14:textId="77777777" w:rsidR="007939A4" w:rsidRDefault="007939A4" w:rsidP="009F3A37">
      <w:pPr>
        <w:tabs>
          <w:tab w:val="left" w:pos="502"/>
          <w:tab w:val="right" w:leader="underscore" w:pos="10621"/>
        </w:tabs>
        <w:spacing w:line="276" w:lineRule="auto"/>
        <w:rPr>
          <w:rFonts w:ascii="Arial" w:hAnsi="Arial" w:cs="Arial"/>
          <w:b/>
          <w:sz w:val="22"/>
          <w:szCs w:val="22"/>
        </w:rPr>
      </w:pPr>
    </w:p>
    <w:p w14:paraId="5669E1C3" w14:textId="38CB0D30"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w:t>
      </w:r>
      <w:r w:rsidR="00B22207">
        <w:rPr>
          <w:rFonts w:ascii="Arial" w:hAnsi="Arial" w:cs="Arial"/>
          <w:b/>
          <w:sz w:val="22"/>
          <w:szCs w:val="22"/>
        </w:rPr>
        <w:t>4</w:t>
      </w:r>
      <w:r w:rsidRPr="00337DF3">
        <w:rPr>
          <w:rFonts w:ascii="Arial" w:hAnsi="Arial" w:cs="Arial"/>
          <w:b/>
          <w:sz w:val="22"/>
          <w:szCs w:val="22"/>
        </w:rPr>
        <w:t>. S</w:t>
      </w:r>
      <w:r w:rsidR="00CD652A">
        <w:rPr>
          <w:rFonts w:ascii="Arial" w:hAnsi="Arial" w:cs="Arial"/>
          <w:b/>
          <w:sz w:val="22"/>
          <w:szCs w:val="22"/>
        </w:rPr>
        <w:t>OURCE OF POTABLE WATER</w:t>
      </w:r>
      <w:r w:rsidRPr="00337DF3">
        <w:rPr>
          <w:rFonts w:ascii="Arial" w:hAnsi="Arial" w:cs="Arial"/>
          <w:sz w:val="22"/>
          <w:szCs w:val="22"/>
        </w:rPr>
        <w:t>.</w:t>
      </w:r>
      <w:r w:rsidR="00CD652A">
        <w:rPr>
          <w:rFonts w:ascii="Arial" w:hAnsi="Arial" w:cs="Arial"/>
          <w:sz w:val="22"/>
          <w:szCs w:val="22"/>
        </w:rPr>
        <w:t xml:space="preserve"> The source of potable water for this Property is:  </w:t>
      </w:r>
    </w:p>
    <w:p w14:paraId="1426C5A9" w14:textId="726731A9" w:rsidR="00F25514" w:rsidRPr="00337DF3" w:rsidRDefault="00F25514" w:rsidP="00F25514">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745908648"/>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Pr>
          <w:rFonts w:ascii="Arial" w:hAnsi="Arial" w:cs="Arial"/>
          <w:sz w:val="22"/>
          <w:szCs w:val="22"/>
        </w:rPr>
        <w:t>A well</w:t>
      </w:r>
      <w:r w:rsidRPr="00337DF3">
        <w:rPr>
          <w:rFonts w:ascii="Arial" w:hAnsi="Arial" w:cs="Arial"/>
          <w:sz w:val="22"/>
          <w:szCs w:val="22"/>
        </w:rPr>
        <w:t xml:space="preserve">. </w:t>
      </w:r>
    </w:p>
    <w:p w14:paraId="67830E90" w14:textId="5DAE5C1F" w:rsidR="00F25514" w:rsidRDefault="00F25514" w:rsidP="00F25514">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39641463"/>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Pr>
          <w:rFonts w:ascii="Arial" w:hAnsi="Arial" w:cs="Arial"/>
          <w:sz w:val="22"/>
          <w:szCs w:val="22"/>
        </w:rPr>
        <w:t>A water provider, which can be contacted as follows</w:t>
      </w:r>
      <w:r w:rsidRPr="00337DF3">
        <w:rPr>
          <w:rFonts w:ascii="Arial" w:hAnsi="Arial" w:cs="Arial"/>
          <w:sz w:val="22"/>
          <w:szCs w:val="22"/>
        </w:rPr>
        <w:t>:</w:t>
      </w:r>
    </w:p>
    <w:p w14:paraId="069E18F2" w14:textId="77777777" w:rsidR="00F25514" w:rsidRDefault="00F25514" w:rsidP="00F25514">
      <w:pPr>
        <w:spacing w:line="276" w:lineRule="auto"/>
        <w:ind w:left="720"/>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fldChar w:fldCharType="begin">
          <w:ffData>
            <w:name w:val=""/>
            <w:enabled/>
            <w:calcOnExit w:val="0"/>
            <w:textInput>
              <w:default w:val="[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[NAME]</w:t>
      </w:r>
      <w:r>
        <w:rPr>
          <w:rFonts w:ascii="Arial" w:hAnsi="Arial" w:cs="Arial"/>
          <w:sz w:val="22"/>
          <w:szCs w:val="22"/>
          <w:u w:val="single"/>
        </w:rPr>
        <w:fldChar w:fldCharType="end"/>
      </w:r>
    </w:p>
    <w:p w14:paraId="655F9EFC" w14:textId="77777777" w:rsidR="00F25514" w:rsidRDefault="00F25514" w:rsidP="00F25514">
      <w:pPr>
        <w:spacing w:line="276" w:lineRule="auto"/>
        <w:ind w:left="720"/>
        <w:rPr>
          <w:rFonts w:ascii="Arial" w:hAnsi="Arial" w:cs="Arial"/>
          <w:sz w:val="22"/>
          <w:szCs w:val="22"/>
        </w:rPr>
      </w:pPr>
      <w:r>
        <w:rPr>
          <w:rFonts w:ascii="Arial" w:hAnsi="Arial" w:cs="Arial"/>
          <w:sz w:val="22"/>
          <w:szCs w:val="22"/>
        </w:rPr>
        <w:t>Address:</w:t>
      </w:r>
      <w:r w:rsidRPr="00337DF3">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[ADDRESS]</w:t>
      </w:r>
      <w:r>
        <w:rPr>
          <w:rFonts w:ascii="Arial" w:hAnsi="Arial" w:cs="Arial"/>
          <w:sz w:val="22"/>
          <w:szCs w:val="22"/>
          <w:u w:val="single"/>
        </w:rPr>
        <w:fldChar w:fldCharType="end"/>
      </w:r>
    </w:p>
    <w:p w14:paraId="147C9C7F" w14:textId="77777777" w:rsidR="00F25514" w:rsidRDefault="00F25514" w:rsidP="00F25514">
      <w:pPr>
        <w:spacing w:line="276" w:lineRule="auto"/>
        <w:ind w:left="720"/>
        <w:rPr>
          <w:rFonts w:ascii="Arial" w:hAnsi="Arial" w:cs="Arial"/>
          <w:sz w:val="22"/>
          <w:szCs w:val="22"/>
        </w:rPr>
      </w:pPr>
      <w:r>
        <w:rPr>
          <w:rFonts w:ascii="Arial" w:hAnsi="Arial" w:cs="Arial"/>
          <w:sz w:val="22"/>
          <w:szCs w:val="22"/>
        </w:rPr>
        <w:t>Website:</w:t>
      </w:r>
      <w:r w:rsidRPr="00337DF3">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WESBI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[WESBITE]</w:t>
      </w:r>
      <w:r>
        <w:rPr>
          <w:rFonts w:ascii="Arial" w:hAnsi="Arial" w:cs="Arial"/>
          <w:sz w:val="22"/>
          <w:szCs w:val="22"/>
          <w:u w:val="single"/>
        </w:rPr>
        <w:fldChar w:fldCharType="end"/>
      </w:r>
      <w:r>
        <w:rPr>
          <w:rFonts w:ascii="Arial" w:hAnsi="Arial" w:cs="Arial"/>
          <w:sz w:val="22"/>
          <w:szCs w:val="22"/>
        </w:rPr>
        <w:t xml:space="preserve"> </w:t>
      </w:r>
    </w:p>
    <w:p w14:paraId="2BBCF805" w14:textId="2063172B" w:rsidR="00F25514" w:rsidRPr="00337DF3" w:rsidRDefault="00F25514" w:rsidP="00F25514">
      <w:pPr>
        <w:spacing w:line="276" w:lineRule="auto"/>
        <w:ind w:left="720"/>
        <w:rPr>
          <w:rFonts w:ascii="Arial" w:hAnsi="Arial" w:cs="Arial"/>
          <w:sz w:val="22"/>
          <w:szCs w:val="22"/>
        </w:rPr>
      </w:pPr>
      <w:r>
        <w:rPr>
          <w:rFonts w:ascii="Arial" w:hAnsi="Arial" w:cs="Arial"/>
          <w:sz w:val="22"/>
          <w:szCs w:val="22"/>
        </w:rPr>
        <w:t>Telephone</w:t>
      </w:r>
      <w:r>
        <w:rPr>
          <w:rFonts w:ascii="Arial" w:hAnsi="Arial" w:cs="Arial"/>
          <w:sz w:val="22"/>
          <w:szCs w:val="22"/>
        </w:rPr>
        <w:t>:</w:t>
      </w:r>
      <w:r w:rsidRPr="00337DF3">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[PHONE NUMBER]</w:t>
      </w:r>
      <w:r>
        <w:rPr>
          <w:rFonts w:ascii="Arial" w:hAnsi="Arial" w:cs="Arial"/>
          <w:sz w:val="22"/>
          <w:szCs w:val="22"/>
          <w:u w:val="single"/>
        </w:rPr>
        <w:fldChar w:fldCharType="end"/>
      </w:r>
    </w:p>
    <w:p w14:paraId="6B625571" w14:textId="69BF871F" w:rsidR="00F25514" w:rsidRDefault="00F25514" w:rsidP="00F25514">
      <w:pPr>
        <w:tabs>
          <w:tab w:val="left" w:pos="502"/>
          <w:tab w:val="right" w:leader="underscore" w:pos="10621"/>
        </w:tabs>
        <w:spacing w:line="276" w:lineRule="auto"/>
        <w:ind w:left="360"/>
        <w:rPr>
          <w:rFonts w:ascii="Arial" w:hAnsi="Arial" w:cs="Arial"/>
          <w:sz w:val="22"/>
          <w:szCs w:val="22"/>
          <w:u w:val="single"/>
        </w:rPr>
      </w:pPr>
      <w:sdt>
        <w:sdtPr>
          <w:rPr>
            <w:rFonts w:ascii="Arial" w:hAnsi="Arial" w:cs="Arial"/>
            <w:sz w:val="22"/>
            <w:szCs w:val="22"/>
          </w:rPr>
          <w:id w:val="343752672"/>
          <w14:checkbox>
            <w14:checked w14:val="0"/>
            <w14:checkedState w14:val="2612" w14:font="MS Gothic"/>
            <w14:uncheckedState w14:val="2610" w14:font="MS Gothic"/>
          </w14:checkbox>
        </w:sdtPr>
        <w:sdtContent>
          <w:r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 </w:t>
      </w:r>
      <w:r>
        <w:rPr>
          <w:rFonts w:ascii="Arial" w:hAnsi="Arial" w:cs="Arial"/>
          <w:sz w:val="22"/>
          <w:szCs w:val="22"/>
        </w:rPr>
        <w:t>Neither a well nor a</w:t>
      </w:r>
      <w:r>
        <w:rPr>
          <w:rFonts w:ascii="Arial" w:hAnsi="Arial" w:cs="Arial"/>
          <w:sz w:val="22"/>
          <w:szCs w:val="22"/>
        </w:rPr>
        <w:t xml:space="preserve"> water provider</w:t>
      </w:r>
      <w:r>
        <w:rPr>
          <w:rFonts w:ascii="Arial" w:hAnsi="Arial" w:cs="Arial"/>
          <w:sz w:val="22"/>
          <w:szCs w:val="22"/>
        </w:rPr>
        <w:t xml:space="preserve">. The source is </w:t>
      </w:r>
      <w:r>
        <w:rPr>
          <w:rFonts w:ascii="Arial" w:hAnsi="Arial" w:cs="Arial"/>
          <w:sz w:val="22"/>
          <w:szCs w:val="22"/>
          <w:u w:val="single"/>
        </w:rPr>
        <w:fldChar w:fldCharType="begin">
          <w:ffData>
            <w:name w:val=""/>
            <w:enabled/>
            <w:calcOnExit w:val="0"/>
            <w:textInput>
              <w:default w:val="[DESCRIBE WATER SOUR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WATER SOURCE]</w:t>
      </w:r>
      <w:r>
        <w:rPr>
          <w:rFonts w:ascii="Arial" w:hAnsi="Arial" w:cs="Arial"/>
          <w:sz w:val="22"/>
          <w:szCs w:val="22"/>
          <w:u w:val="single"/>
        </w:rPr>
        <w:fldChar w:fldCharType="end"/>
      </w:r>
    </w:p>
    <w:p w14:paraId="73AF96D6" w14:textId="77777777" w:rsidR="00F25514" w:rsidRDefault="00F25514" w:rsidP="00F25514">
      <w:pPr>
        <w:tabs>
          <w:tab w:val="left" w:pos="502"/>
          <w:tab w:val="right" w:leader="underscore" w:pos="10621"/>
        </w:tabs>
        <w:spacing w:line="276" w:lineRule="auto"/>
        <w:ind w:left="360"/>
        <w:rPr>
          <w:rFonts w:ascii="Arial" w:hAnsi="Arial" w:cs="Arial"/>
          <w:sz w:val="22"/>
          <w:szCs w:val="22"/>
          <w:u w:val="single"/>
        </w:rPr>
      </w:pPr>
    </w:p>
    <w:p w14:paraId="0DB71413" w14:textId="184E6AC6" w:rsidR="00B22207" w:rsidRDefault="00F25514" w:rsidP="00F25514">
      <w:pPr>
        <w:tabs>
          <w:tab w:val="left" w:pos="502"/>
          <w:tab w:val="right" w:leader="underscore" w:pos="10621"/>
        </w:tabs>
        <w:spacing w:line="276" w:lineRule="auto"/>
        <w:rPr>
          <w:rFonts w:ascii="Arial" w:hAnsi="Arial" w:cs="Arial"/>
          <w:sz w:val="22"/>
          <w:szCs w:val="22"/>
        </w:rPr>
      </w:pPr>
      <w:r>
        <w:rPr>
          <w:rFonts w:ascii="Arial" w:hAnsi="Arial" w:cs="Arial"/>
          <w:sz w:val="22"/>
          <w:szCs w:val="22"/>
        </w:rPr>
        <w:t xml:space="preserve">Some water providers rely, to varying degrees, on nonrenewable groundwater. You may wish to contact your provider to determine the long-term sufficiency of the provider’s water supplies. </w:t>
      </w:r>
    </w:p>
    <w:p w14:paraId="0B187941" w14:textId="77777777" w:rsidR="00B22207" w:rsidRPr="007939A4" w:rsidRDefault="00B22207" w:rsidP="00B22207">
      <w:pPr>
        <w:tabs>
          <w:tab w:val="left" w:pos="502"/>
          <w:tab w:val="right" w:leader="underscore" w:pos="10621"/>
        </w:tabs>
        <w:spacing w:line="276" w:lineRule="auto"/>
        <w:ind w:left="360"/>
        <w:rPr>
          <w:rFonts w:ascii="Arial" w:hAnsi="Arial" w:cs="Arial"/>
          <w:sz w:val="22"/>
          <w:szCs w:val="22"/>
        </w:rPr>
      </w:pPr>
    </w:p>
    <w:p w14:paraId="44F0681D" w14:textId="1CEB1645" w:rsidR="00B22207" w:rsidRDefault="00B22207" w:rsidP="00B2220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w:t>
      </w:r>
      <w:r>
        <w:rPr>
          <w:rFonts w:ascii="Arial" w:hAnsi="Arial" w:cs="Arial"/>
          <w:b/>
          <w:sz w:val="22"/>
          <w:szCs w:val="22"/>
        </w:rPr>
        <w:t>5</w:t>
      </w:r>
      <w:r w:rsidRPr="00337DF3">
        <w:rPr>
          <w:rFonts w:ascii="Arial" w:hAnsi="Arial" w:cs="Arial"/>
          <w:b/>
          <w:sz w:val="22"/>
          <w:szCs w:val="22"/>
        </w:rPr>
        <w:t>. ADDITIONAL TERMS AND CONDITIONS</w:t>
      </w:r>
      <w:r w:rsidRPr="00337DF3">
        <w:rPr>
          <w:rFonts w:ascii="Arial" w:hAnsi="Arial" w:cs="Arial"/>
          <w:sz w:val="22"/>
          <w:szCs w:val="22"/>
        </w:rPr>
        <w:t>.</w:t>
      </w:r>
    </w:p>
    <w:p w14:paraId="55D6EE89" w14:textId="77777777" w:rsidR="00B22207" w:rsidRDefault="00B22207" w:rsidP="00B22207">
      <w:pPr>
        <w:tabs>
          <w:tab w:val="left" w:pos="502"/>
          <w:tab w:val="right" w:leader="underscore" w:pos="10621"/>
        </w:tabs>
        <w:spacing w:line="276" w:lineRule="auto"/>
        <w:rPr>
          <w:rFonts w:ascii="Arial" w:hAnsi="Arial" w:cs="Arial"/>
          <w:sz w:val="22"/>
          <w:szCs w:val="22"/>
        </w:rPr>
      </w:pPr>
    </w:p>
    <w:p w14:paraId="3189DAFB" w14:textId="77777777" w:rsidR="00B22207" w:rsidRDefault="00B22207" w:rsidP="00B22207">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0F6384E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w:t>
      </w:r>
      <w:r w:rsidR="00B22207">
        <w:rPr>
          <w:rFonts w:ascii="Arial" w:hAnsi="Arial" w:cs="Arial"/>
          <w:b/>
          <w:spacing w:val="2"/>
          <w:sz w:val="22"/>
          <w:szCs w:val="22"/>
        </w:rPr>
        <w:t>6</w:t>
      </w:r>
      <w:r w:rsidRPr="00337DF3">
        <w:rPr>
          <w:rFonts w:ascii="Arial" w:hAnsi="Arial" w:cs="Arial"/>
          <w:b/>
          <w:spacing w:val="2"/>
          <w:sz w:val="22"/>
          <w:szCs w:val="22"/>
        </w:rPr>
        <w:t>.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204D0601"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w:t>
      </w:r>
      <w:r w:rsidR="00B22207">
        <w:rPr>
          <w:rFonts w:ascii="Arial" w:hAnsi="Arial" w:cs="Arial"/>
          <w:b/>
          <w:spacing w:val="2"/>
          <w:sz w:val="22"/>
          <w:szCs w:val="22"/>
          <w:lang w:val="fr-CA"/>
        </w:rPr>
        <w:t>7</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B22207"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B22207"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B22207"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B22207"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B22207"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B22207"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93F4AEF" w:rsidR="000F7713" w:rsidRDefault="0086622C" w:rsidP="0086622C">
      <w:pPr>
        <w:rPr>
          <w:rFonts w:ascii="Arial" w:hAnsi="Arial" w:cs="Arial"/>
          <w:spacing w:val="2"/>
          <w:sz w:val="22"/>
          <w:szCs w:val="22"/>
        </w:rPr>
      </w:pPr>
      <w:r>
        <w:rPr>
          <w:rFonts w:ascii="Arial" w:hAnsi="Arial" w:cs="Arial"/>
          <w:spacing w:val="2"/>
          <w:sz w:val="22"/>
          <w:szCs w:val="22"/>
        </w:rPr>
        <w:t>Printed Name</w:t>
      </w:r>
    </w:p>
    <w:p w14:paraId="68517D42" w14:textId="50D202F6" w:rsidR="00700CC7" w:rsidRPr="0086622C" w:rsidRDefault="00700CC7" w:rsidP="000F7713">
      <w:pPr>
        <w:suppressAutoHyphens w:val="0"/>
        <w:rPr>
          <w:rFonts w:ascii="Arial" w:hAnsi="Arial" w:cs="Arial"/>
          <w:spacing w:val="2"/>
          <w:sz w:val="22"/>
          <w:szCs w:val="22"/>
        </w:rPr>
      </w:pP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D82" w14:textId="77777777" w:rsidR="003A2AB9" w:rsidRDefault="003A2AB9">
      <w:r>
        <w:separator/>
      </w:r>
    </w:p>
  </w:endnote>
  <w:endnote w:type="continuationSeparator" w:id="0">
    <w:p w14:paraId="4DA8435E" w14:textId="77777777" w:rsidR="003A2AB9" w:rsidRDefault="003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B06E" w14:textId="77777777" w:rsidR="003A2AB9" w:rsidRDefault="003A2AB9">
      <w:r>
        <w:rPr>
          <w:color w:val="000000"/>
        </w:rPr>
        <w:separator/>
      </w:r>
    </w:p>
  </w:footnote>
  <w:footnote w:type="continuationSeparator" w:id="0">
    <w:p w14:paraId="683B3BBC" w14:textId="77777777" w:rsidR="003A2AB9" w:rsidRDefault="003A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0F771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054"/>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939A4"/>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36468"/>
    <w:rsid w:val="00A414BE"/>
    <w:rsid w:val="00A51CD4"/>
    <w:rsid w:val="00A67CF3"/>
    <w:rsid w:val="00A70A8A"/>
    <w:rsid w:val="00A728EF"/>
    <w:rsid w:val="00A745A1"/>
    <w:rsid w:val="00A870FB"/>
    <w:rsid w:val="00A90465"/>
    <w:rsid w:val="00AA17C2"/>
    <w:rsid w:val="00AA60A0"/>
    <w:rsid w:val="00AA7AE7"/>
    <w:rsid w:val="00AC39B6"/>
    <w:rsid w:val="00AE3D0D"/>
    <w:rsid w:val="00B04BCC"/>
    <w:rsid w:val="00B22207"/>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D652A"/>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25514"/>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1"/>
    <w:qFormat/>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Colorado Residential Real Estate Purchase Agreement</vt:lpstr>
    </vt:vector>
  </TitlesOfParts>
  <Manager/>
  <Company/>
  <LinksUpToDate>false</LinksUpToDate>
  <CharactersWithSpaces>26347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Real Estate Purchase Agreement</dc:title>
  <dc:subject/>
  <dc:creator>eSign</dc:creator>
  <cp:keywords> </cp:keywords>
  <dc:description> </dc:description>
  <cp:lastModifiedBy>Jake Upex</cp:lastModifiedBy>
  <cp:revision>5</cp:revision>
  <cp:lastPrinted>2021-02-08T18:20:00Z</cp:lastPrinted>
  <dcterms:created xsi:type="dcterms:W3CDTF">2021-08-07T18:38:00Z</dcterms:created>
  <dcterms:modified xsi:type="dcterms:W3CDTF">2021-08-16T20:37:00Z</dcterms:modified>
  <cp:category/>
</cp:coreProperties>
</file>