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5E72" w14:textId="0A7AFFD3" w:rsidR="00EB5172" w:rsidRDefault="00E625D3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25D3">
        <w:rPr>
          <w:rFonts w:ascii="Arial" w:hAnsi="Arial" w:cs="Arial"/>
          <w:b/>
          <w:bCs/>
          <w:color w:val="000000" w:themeColor="text1"/>
          <w:sz w:val="36"/>
          <w:szCs w:val="36"/>
        </w:rPr>
        <w:t>MICHIGAN</w:t>
      </w:r>
      <w:r w:rsidR="00130A1B" w:rsidRPr="00E625D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5D7C7E25" w14:textId="77777777" w:rsidR="00A2673D" w:rsidRDefault="00A2673D" w:rsidP="00A2673D">
      <w:pPr>
        <w:rPr>
          <w:rFonts w:ascii="Arial" w:hAnsi="Arial" w:cs="Arial"/>
          <w:b/>
          <w:bCs/>
          <w:sz w:val="18"/>
          <w:szCs w:val="18"/>
        </w:rPr>
      </w:pPr>
    </w:p>
    <w:p w14:paraId="52991A5B" w14:textId="77777777" w:rsidR="006B01B5" w:rsidRDefault="006B01B5" w:rsidP="00A2673D">
      <w:pPr>
        <w:rPr>
          <w:rFonts w:ascii="Arial" w:hAnsi="Arial" w:cs="Arial"/>
          <w:b/>
          <w:bCs/>
          <w:sz w:val="18"/>
          <w:szCs w:val="18"/>
        </w:rPr>
      </w:pPr>
    </w:p>
    <w:p w14:paraId="0C003912" w14:textId="1DBF652C" w:rsidR="00A2673D" w:rsidRPr="00A2673D" w:rsidRDefault="00A2673D" w:rsidP="00A2673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Tenant(s): You must complete this checklist, noting the condition of the rental property, and return it to the landlord within seven (7) days after obtaining possession of the rental unit.</w:t>
      </w:r>
      <w:r w:rsidR="006B01B5">
        <w:rPr>
          <w:rFonts w:ascii="Arial" w:hAnsi="Arial" w:cs="Arial"/>
          <w:b/>
          <w:bCs/>
          <w:sz w:val="18"/>
          <w:szCs w:val="18"/>
        </w:rPr>
        <w:t xml:space="preserve"> You are also entitled to request and receive a copy of the last termination inventory checklist which shows what claims were chargeable to the last prior tenants.</w:t>
      </w:r>
      <w:bookmarkStart w:id="0" w:name="_GoBack"/>
      <w:bookmarkEnd w:id="0"/>
    </w:p>
    <w:p w14:paraId="09C95997" w14:textId="77777777" w:rsidR="00D678D4" w:rsidRPr="006B01B5" w:rsidRDefault="00D678D4" w:rsidP="00D678D4">
      <w:pPr>
        <w:ind w:left="-9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1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2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B63FA9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B63FA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B63FA9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B63FA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B63FA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B63FA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5BAE" w14:textId="77777777" w:rsidR="00B63FA9" w:rsidRDefault="00B63FA9" w:rsidP="00EB5172">
      <w:r>
        <w:separator/>
      </w:r>
    </w:p>
  </w:endnote>
  <w:endnote w:type="continuationSeparator" w:id="0">
    <w:p w14:paraId="4B15A670" w14:textId="77777777" w:rsidR="00B63FA9" w:rsidRDefault="00B63FA9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72FF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72FF5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B7B8" w14:textId="77777777" w:rsidR="00B63FA9" w:rsidRDefault="00B63FA9" w:rsidP="00EB5172">
      <w:r>
        <w:separator/>
      </w:r>
    </w:p>
  </w:footnote>
  <w:footnote w:type="continuationSeparator" w:id="0">
    <w:p w14:paraId="140FDA85" w14:textId="77777777" w:rsidR="00B63FA9" w:rsidRDefault="00B63FA9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B01B5"/>
    <w:rsid w:val="006B7833"/>
    <w:rsid w:val="006E0912"/>
    <w:rsid w:val="006E5983"/>
    <w:rsid w:val="006F3B83"/>
    <w:rsid w:val="00836744"/>
    <w:rsid w:val="0086422F"/>
    <w:rsid w:val="008643DB"/>
    <w:rsid w:val="008D46E1"/>
    <w:rsid w:val="00956B54"/>
    <w:rsid w:val="009738F3"/>
    <w:rsid w:val="00976EFC"/>
    <w:rsid w:val="00984F9A"/>
    <w:rsid w:val="00A2673D"/>
    <w:rsid w:val="00A40481"/>
    <w:rsid w:val="00A645E8"/>
    <w:rsid w:val="00A7398A"/>
    <w:rsid w:val="00A909C0"/>
    <w:rsid w:val="00AD4873"/>
    <w:rsid w:val="00B20174"/>
    <w:rsid w:val="00B226AF"/>
    <w:rsid w:val="00B22969"/>
    <w:rsid w:val="00B63FA9"/>
    <w:rsid w:val="00B72FF5"/>
    <w:rsid w:val="00B73212"/>
    <w:rsid w:val="00BA4803"/>
    <w:rsid w:val="00BC6B9C"/>
    <w:rsid w:val="00C2005F"/>
    <w:rsid w:val="00C33F9B"/>
    <w:rsid w:val="00C83768"/>
    <w:rsid w:val="00C94A02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625D3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3427</Characters>
  <Application>Microsoft Macintosh Word</Application>
  <DocSecurity>0</DocSecurity>
  <Lines>685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 in/Move-out Checklist</vt:lpstr>
    </vt:vector>
  </TitlesOfParts>
  <Manager/>
  <Company/>
  <LinksUpToDate>false</LinksUpToDate>
  <CharactersWithSpaces>3759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Move in/Move-out Checklist</dc:title>
  <dc:subject/>
  <dc:creator>eSign</dc:creator>
  <cp:keywords/>
  <dc:description/>
  <cp:lastModifiedBy>Corbin Steele</cp:lastModifiedBy>
  <cp:revision>4</cp:revision>
  <dcterms:created xsi:type="dcterms:W3CDTF">2021-06-08T14:09:00Z</dcterms:created>
  <dcterms:modified xsi:type="dcterms:W3CDTF">2021-06-08T14:09:00Z</dcterms:modified>
  <cp:category/>
</cp:coreProperties>
</file>