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DEC" w14:textId="678ABCAA" w:rsidR="00D44C5C" w:rsidRPr="0088435C" w:rsidRDefault="00BC396E" w:rsidP="00D44C5C">
      <w:pPr>
        <w:autoSpaceDE w:val="0"/>
        <w:autoSpaceDN w:val="0"/>
        <w:adjustRightInd w:val="0"/>
        <w:spacing w:line="276" w:lineRule="auto"/>
        <w:jc w:val="center"/>
        <w:rPr>
          <w:rFonts w:ascii="Arial" w:hAnsi="Arial" w:cs="Arial"/>
          <w:b/>
          <w:bCs/>
          <w:sz w:val="36"/>
          <w:szCs w:val="36"/>
        </w:rPr>
      </w:pPr>
      <w:r w:rsidRPr="00BC396E">
        <w:rPr>
          <w:rFonts w:ascii="Arial" w:hAnsi="Arial" w:cs="Arial"/>
          <w:b/>
          <w:bCs/>
          <w:sz w:val="36"/>
          <w:szCs w:val="36"/>
        </w:rPr>
        <w:t>MISSISSIPPI</w:t>
      </w:r>
      <w:r w:rsidR="00D44C5C" w:rsidRPr="00BC396E">
        <w:rPr>
          <w:rFonts w:ascii="Arial" w:hAnsi="Arial" w:cs="Arial"/>
          <w:b/>
          <w:bCs/>
          <w:sz w:val="36"/>
          <w:szCs w:val="36"/>
        </w:rPr>
        <w:t xml:space="preserve"> </w:t>
      </w:r>
      <w:r w:rsidR="00D44C5C" w:rsidRPr="0088435C">
        <w:rPr>
          <w:rFonts w:ascii="Arial" w:hAnsi="Arial" w:cs="Arial"/>
          <w:b/>
          <w:bCs/>
          <w:sz w:val="36"/>
          <w:szCs w:val="36"/>
        </w:rPr>
        <w:t>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0EF7982A"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BC396E">
        <w:rPr>
          <w:rFonts w:ascii="Arial" w:hAnsi="Arial" w:cs="Arial"/>
          <w:bCs/>
          <w:sz w:val="22"/>
          <w:szCs w:val="22"/>
        </w:rPr>
        <w:t xml:space="preserve"> Mississippi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BC396E"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BC396E"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BC396E"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BC396E"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BC396E"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BC396E"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BC396E"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BC396E"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BC396E"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BC396E"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BC396E"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BC396E"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BC396E"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BC396E"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BC396E"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BC396E"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BC396E"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BC396E"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BC396E"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BC396E"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BC396E"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BC396E"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BC396E"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BC396E"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6AAC6285"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sidR="00BC396E">
        <w:rPr>
          <w:rFonts w:ascii="Arial" w:hAnsi="Arial" w:cs="Arial"/>
          <w:sz w:val="22"/>
          <w:szCs w:val="22"/>
        </w:rPr>
        <w:t xml:space="preserve"> Mississippi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4D577962"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BC396E">
        <w:rPr>
          <w:rFonts w:ascii="Arial" w:hAnsi="Arial" w:cs="Arial"/>
          <w:sz w:val="22"/>
          <w:szCs w:val="22"/>
        </w:rPr>
        <w:t xml:space="preserve"> Mississippi</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577F0AD6"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This Agreement shall be governed by the laws of the state o</w:t>
      </w:r>
      <w:r w:rsidR="00BC396E">
        <w:rPr>
          <w:rFonts w:ascii="Arial" w:hAnsi="Arial" w:cs="Arial"/>
          <w:sz w:val="22"/>
          <w:szCs w:val="22"/>
        </w:rPr>
        <w:t>f Mississippi</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BC396E"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BC396E"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 xml:space="preserve">Landlord’s Signature: </w:t>
      </w:r>
      <w:hyperlink r:id="rId13"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5F7C54" w:rsidRDefault="00D44C5C" w:rsidP="00D44C5C">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7674926" w14:textId="77777777" w:rsidR="00D44C5C" w:rsidRPr="005F7C54" w:rsidRDefault="00D44C5C" w:rsidP="00D44C5C">
      <w:pPr>
        <w:widowControl w:val="0"/>
        <w:autoSpaceDE w:val="0"/>
        <w:autoSpaceDN w:val="0"/>
        <w:adjustRightInd w:val="0"/>
        <w:spacing w:line="276" w:lineRule="auto"/>
        <w:rPr>
          <w:rFonts w:ascii="Arial" w:hAnsi="Arial" w:cs="Arial"/>
          <w:sz w:val="22"/>
          <w:szCs w:val="22"/>
        </w:rPr>
      </w:pPr>
    </w:p>
    <w:p w14:paraId="506E3FEC"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4"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5"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BC3D3DF" w14:textId="2139388B" w:rsidR="00D44C5C" w:rsidRDefault="00D44C5C" w:rsidP="00D44C5C">
      <w:pPr>
        <w:ind w:firstLine="720"/>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sectPr w:rsidR="00D44C5C" w:rsidSect="00FC6BCC">
      <w:pgSz w:w="12240" w:h="15840"/>
      <w:pgMar w:top="1440" w:right="1440" w:bottom="1440" w:left="144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43C0" w14:textId="77777777" w:rsidR="0092681F" w:rsidRDefault="0092681F">
      <w:r>
        <w:separator/>
      </w:r>
    </w:p>
  </w:endnote>
  <w:endnote w:type="continuationSeparator" w:id="0">
    <w:p w14:paraId="0C075B56" w14:textId="77777777" w:rsidR="0092681F" w:rsidRDefault="009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2B0D" w14:textId="77777777" w:rsidR="002B4DB1" w:rsidRDefault="002B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1256" w14:textId="77777777" w:rsidR="0092681F" w:rsidRDefault="0092681F">
      <w:r>
        <w:separator/>
      </w:r>
    </w:p>
  </w:footnote>
  <w:footnote w:type="continuationSeparator" w:id="0">
    <w:p w14:paraId="3515AE96" w14:textId="77777777" w:rsidR="0092681F" w:rsidRDefault="0092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E835" w14:textId="77777777" w:rsidR="002B4DB1" w:rsidRDefault="002B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526D" w14:textId="77777777" w:rsidR="002B4DB1" w:rsidRDefault="002B4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D972" w14:textId="77777777" w:rsidR="002B4DB1" w:rsidRDefault="002B4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2B4DB1"/>
    <w:rsid w:val="0092681F"/>
    <w:rsid w:val="00A94C25"/>
    <w:rsid w:val="00BC396E"/>
    <w:rsid w:val="00D44C5C"/>
    <w:rsid w:val="00D77748"/>
    <w:rsid w:val="00FC6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2B4DB1"/>
    <w:pPr>
      <w:tabs>
        <w:tab w:val="center" w:pos="4680"/>
        <w:tab w:val="right" w:pos="9360"/>
      </w:tabs>
    </w:pPr>
  </w:style>
  <w:style w:type="character" w:customStyle="1" w:styleId="HeaderChar">
    <w:name w:val="Header Char"/>
    <w:basedOn w:val="DefaultParagraphFont"/>
    <w:link w:val="Header"/>
    <w:uiPriority w:val="99"/>
    <w:rsid w:val="002B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2442</Words>
  <Characters>13436</Characters>
  <Application>Microsoft Office Word</Application>
  <DocSecurity>0</DocSecurity>
  <Lines>285</Lines>
  <Paragraphs>123</Paragraphs>
  <ScaleCrop>false</ScaleCrop>
  <HeadingPairs>
    <vt:vector size="2" baseType="variant">
      <vt:variant>
        <vt:lpstr>Title</vt:lpstr>
      </vt:variant>
      <vt:variant>
        <vt:i4>1</vt:i4>
      </vt:variant>
    </vt:vector>
  </HeadingPairs>
  <TitlesOfParts>
    <vt:vector size="1" baseType="lpstr">
      <vt:lpstr>Mississippi Standard Residential Lease Agreement</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Standard Residential Lease Agreement</dc:title>
  <dc:subject/>
  <dc:creator>eSign</dc:creator>
  <cp:keywords/>
  <dc:description/>
  <cp:lastModifiedBy>Jake Upex</cp:lastModifiedBy>
  <cp:revision>3</cp:revision>
  <dcterms:created xsi:type="dcterms:W3CDTF">2021-05-20T17:37:00Z</dcterms:created>
  <dcterms:modified xsi:type="dcterms:W3CDTF">2021-05-20T17:38:00Z</dcterms:modified>
</cp:coreProperties>
</file>