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9A428A"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9A428A"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5E6D78C3"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682508" w:rsidRPr="00682508">
        <w:rPr>
          <w:rFonts w:ascii="Arial" w:hAnsi="Arial" w:cs="Arial"/>
          <w:color w:val="000000" w:themeColor="text1"/>
          <w:sz w:val="22"/>
          <w:szCs w:val="22"/>
        </w:rPr>
        <w:t>Nevada</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0BC41BDD"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682508" w:rsidRPr="00682508">
        <w:rPr>
          <w:rFonts w:ascii="Arial" w:hAnsi="Arial" w:cs="Arial"/>
          <w:color w:val="000000" w:themeColor="text1"/>
          <w:sz w:val="22"/>
          <w:szCs w:val="22"/>
        </w:rPr>
        <w:t>Nevada</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721C063E"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682508" w:rsidRPr="00682508">
        <w:rPr>
          <w:rFonts w:ascii="Arial" w:hAnsi="Arial" w:cs="Arial"/>
          <w:color w:val="000000" w:themeColor="text1"/>
          <w:sz w:val="22"/>
          <w:szCs w:val="22"/>
        </w:rPr>
        <w:t>Nevada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007BEE0D"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682508" w:rsidRPr="00682508">
        <w:rPr>
          <w:rFonts w:ascii="Arial" w:hAnsi="Arial" w:cs="Arial"/>
          <w:color w:val="000000" w:themeColor="text1"/>
          <w:sz w:val="22"/>
          <w:szCs w:val="22"/>
        </w:rPr>
        <w:t>Nevada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0C34578B"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682508" w:rsidRPr="00682508">
        <w:rPr>
          <w:rFonts w:ascii="Arial" w:hAnsi="Arial" w:cs="Arial"/>
          <w:color w:val="000000" w:themeColor="text1"/>
          <w:sz w:val="22"/>
          <w:szCs w:val="22"/>
        </w:rPr>
        <w:t>Nevada</w:t>
      </w:r>
      <w:bookmarkStart w:id="1" w:name="_GoBack"/>
      <w:bookmarkEnd w:id="1"/>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9D4B" w14:textId="77777777" w:rsidR="009A428A" w:rsidRDefault="009A428A">
      <w:r>
        <w:separator/>
      </w:r>
    </w:p>
  </w:endnote>
  <w:endnote w:type="continuationSeparator" w:id="0">
    <w:p w14:paraId="128E8AD1" w14:textId="77777777" w:rsidR="009A428A" w:rsidRDefault="009A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C0F40" w14:textId="77777777" w:rsidR="009A428A" w:rsidRDefault="009A428A">
      <w:r>
        <w:separator/>
      </w:r>
    </w:p>
  </w:footnote>
  <w:footnote w:type="continuationSeparator" w:id="0">
    <w:p w14:paraId="178910DD" w14:textId="77777777" w:rsidR="009A428A" w:rsidRDefault="009A4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2508"/>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428A"/>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2</TotalTime>
  <Pages>15</Pages>
  <Words>7474</Words>
  <Characters>38342</Characters>
  <Application>Microsoft Office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LLC Operating Agreement Template</dc:title>
  <dc:subject/>
  <dc:creator>eSign</dc:creator>
  <cp:keywords/>
  <dc:description/>
  <cp:lastModifiedBy>Richard Bastarache</cp:lastModifiedBy>
  <cp:revision>4</cp:revision>
  <cp:lastPrinted>2016-03-06T14:59:00Z</cp:lastPrinted>
  <dcterms:created xsi:type="dcterms:W3CDTF">2021-09-16T19:04:00Z</dcterms:created>
  <dcterms:modified xsi:type="dcterms:W3CDTF">2021-10-23T16:29:00Z</dcterms:modified>
  <cp:category/>
</cp:coreProperties>
</file>