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 o</w:t>
      </w:r>
      <w:r w:rsidR="003E46E0" w:rsidRPr="005100F7">
        <w:rPr>
          <w:rFonts w:ascii="Arial" w:hAnsi="Arial" w:cs="Arial"/>
          <w:sz w:val="22"/>
          <w:szCs w:val="22"/>
        </w:rPr>
        <w:t>n</w:t>
      </w:r>
      <w:proofErr w:type="gramEnd"/>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D23A21"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D23A21"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7F76E574"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bookmarkStart w:id="1" w:name="_GoBack"/>
      <w:r w:rsidR="00FE51B5">
        <w:rPr>
          <w:rFonts w:ascii="Arial" w:hAnsi="Arial" w:cs="Arial"/>
          <w:sz w:val="22"/>
          <w:szCs w:val="22"/>
        </w:rPr>
        <w:t>South</w:t>
      </w:r>
      <w:bookmarkEnd w:id="1"/>
      <w:r w:rsidR="00FE51B5">
        <w:rPr>
          <w:rFonts w:ascii="Arial" w:hAnsi="Arial" w:cs="Arial"/>
          <w:sz w:val="22"/>
          <w:szCs w:val="22"/>
        </w:rPr>
        <w:t xml:space="preserve"> Carolina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w:t>
      </w:r>
      <w:proofErr w:type="gramStart"/>
      <w:r w:rsidRPr="00043943">
        <w:rPr>
          <w:rFonts w:ascii="Arial" w:hAnsi="Arial" w:cs="Arial"/>
          <w:sz w:val="22"/>
          <w:szCs w:val="22"/>
        </w:rPr>
        <w:t>any and all</w:t>
      </w:r>
      <w:proofErr w:type="gramEnd"/>
      <w:r w:rsidRPr="00043943">
        <w:rPr>
          <w:rFonts w:ascii="Arial" w:hAnsi="Arial" w:cs="Arial"/>
          <w:sz w:val="22"/>
          <w:szCs w:val="22"/>
        </w:rPr>
        <w:t xml:space="preserve">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6ECF9525"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FE51B5">
        <w:rPr>
          <w:rFonts w:ascii="Arial" w:hAnsi="Arial" w:cs="Arial"/>
          <w:sz w:val="22"/>
          <w:szCs w:val="22"/>
        </w:rPr>
        <w:t>South Carolina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C1143D4"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FE51B5">
        <w:rPr>
          <w:rFonts w:ascii="Arial" w:hAnsi="Arial" w:cs="Arial"/>
          <w:sz w:val="22"/>
          <w:szCs w:val="22"/>
        </w:rPr>
        <w:t>South Carolina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w:t>
      </w:r>
      <w:proofErr w:type="gramStart"/>
      <w:r w:rsidRPr="00043943">
        <w:rPr>
          <w:rFonts w:ascii="Arial" w:hAnsi="Arial" w:cs="Arial"/>
          <w:sz w:val="22"/>
          <w:szCs w:val="22"/>
        </w:rPr>
        <w:t>entering into the</w:t>
      </w:r>
      <w:proofErr w:type="gramEnd"/>
      <w:r w:rsidRPr="00043943">
        <w:rPr>
          <w:rFonts w:ascii="Arial" w:hAnsi="Arial" w:cs="Arial"/>
          <w:sz w:val="22"/>
          <w:szCs w:val="22"/>
        </w:rPr>
        <w:t xml:space="preserv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w:t>
      </w:r>
      <w:proofErr w:type="gramStart"/>
      <w:r w:rsidRPr="00043943">
        <w:rPr>
          <w:rFonts w:ascii="Arial" w:hAnsi="Arial" w:cs="Arial"/>
          <w:sz w:val="22"/>
          <w:szCs w:val="22"/>
        </w:rPr>
        <w:t>in connection with</w:t>
      </w:r>
      <w:proofErr w:type="gramEnd"/>
      <w:r w:rsidRPr="00043943">
        <w:rPr>
          <w:rFonts w:ascii="Arial" w:hAnsi="Arial" w:cs="Arial"/>
          <w:sz w:val="22"/>
          <w:szCs w:val="22"/>
        </w:rPr>
        <w:t xml:space="preserve">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5CEA5A9A"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FE51B5">
        <w:rPr>
          <w:rFonts w:ascii="Arial" w:hAnsi="Arial" w:cs="Arial"/>
          <w:sz w:val="22"/>
          <w:szCs w:val="22"/>
        </w:rPr>
        <w:t>South Carolina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6E22EDCC"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FE51B5">
        <w:rPr>
          <w:rFonts w:ascii="Arial" w:hAnsi="Arial" w:cs="Arial"/>
          <w:sz w:val="22"/>
          <w:szCs w:val="22"/>
        </w:rPr>
        <w:t>South Carolina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0EC5" w14:textId="77777777" w:rsidR="00D23A21" w:rsidRDefault="00D23A21">
      <w:r>
        <w:separator/>
      </w:r>
    </w:p>
  </w:endnote>
  <w:endnote w:type="continuationSeparator" w:id="0">
    <w:p w14:paraId="76072280" w14:textId="77777777" w:rsidR="00D23A21" w:rsidRDefault="00D2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77A66">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77A66">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F7493" w14:textId="77777777" w:rsidR="00D23A21" w:rsidRDefault="00D23A21">
      <w:r>
        <w:separator/>
      </w:r>
    </w:p>
  </w:footnote>
  <w:footnote w:type="continuationSeparator" w:id="0">
    <w:p w14:paraId="5A929312" w14:textId="77777777" w:rsidR="00D23A21" w:rsidRDefault="00D23A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0F60"/>
    <w:rsid w:val="00384521"/>
    <w:rsid w:val="003E01EE"/>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10E3"/>
    <w:rsid w:val="00753158"/>
    <w:rsid w:val="007572BD"/>
    <w:rsid w:val="00764D90"/>
    <w:rsid w:val="007752DD"/>
    <w:rsid w:val="00777A66"/>
    <w:rsid w:val="00783E53"/>
    <w:rsid w:val="007936E8"/>
    <w:rsid w:val="007B0572"/>
    <w:rsid w:val="007B1143"/>
    <w:rsid w:val="007B6C55"/>
    <w:rsid w:val="007C3951"/>
    <w:rsid w:val="007C4A92"/>
    <w:rsid w:val="007E6826"/>
    <w:rsid w:val="007F436A"/>
    <w:rsid w:val="007F4F06"/>
    <w:rsid w:val="00802B16"/>
    <w:rsid w:val="008112FB"/>
    <w:rsid w:val="00811BA3"/>
    <w:rsid w:val="0082347C"/>
    <w:rsid w:val="00826907"/>
    <w:rsid w:val="00831C45"/>
    <w:rsid w:val="00835255"/>
    <w:rsid w:val="008355E5"/>
    <w:rsid w:val="00840187"/>
    <w:rsid w:val="00856B07"/>
    <w:rsid w:val="0086320B"/>
    <w:rsid w:val="008634F0"/>
    <w:rsid w:val="008830BA"/>
    <w:rsid w:val="008B6989"/>
    <w:rsid w:val="008C2FBB"/>
    <w:rsid w:val="008C7FA2"/>
    <w:rsid w:val="00917140"/>
    <w:rsid w:val="00920FAC"/>
    <w:rsid w:val="00930F11"/>
    <w:rsid w:val="00946918"/>
    <w:rsid w:val="00954944"/>
    <w:rsid w:val="009A5D33"/>
    <w:rsid w:val="009B2009"/>
    <w:rsid w:val="009B2559"/>
    <w:rsid w:val="009C70F9"/>
    <w:rsid w:val="009F286C"/>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A3A79"/>
    <w:rsid w:val="00BB1343"/>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3A21"/>
    <w:rsid w:val="00D25E53"/>
    <w:rsid w:val="00D26938"/>
    <w:rsid w:val="00D311B1"/>
    <w:rsid w:val="00D6357F"/>
    <w:rsid w:val="00D70A0F"/>
    <w:rsid w:val="00D70CFF"/>
    <w:rsid w:val="00D73708"/>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62B6"/>
    <w:rsid w:val="00FE51B5"/>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7480</Words>
  <Characters>38376</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South Carolina LLC Operating Agreement Template</vt:lpstr>
    </vt:vector>
  </TitlesOfParts>
  <Manager/>
  <Company/>
  <LinksUpToDate>false</LinksUpToDate>
  <CharactersWithSpaces>45685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LLC Operating Agreement Template</dc:title>
  <dc:subject/>
  <dc:creator>eSign</dc:creator>
  <cp:keywords/>
  <dc:description/>
  <cp:lastModifiedBy>Ian Macaulay</cp:lastModifiedBy>
  <cp:revision>3</cp:revision>
  <cp:lastPrinted>2016-03-06T14:59:00Z</cp:lastPrinted>
  <dcterms:created xsi:type="dcterms:W3CDTF">2021-09-22T20:41:00Z</dcterms:created>
  <dcterms:modified xsi:type="dcterms:W3CDTF">2021-09-22T20:41:00Z</dcterms:modified>
  <cp:category/>
</cp:coreProperties>
</file>