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D29B5" w14:textId="77777777" w:rsidR="00F33F69" w:rsidRDefault="00F33F69" w:rsidP="00F33F69">
      <w:pPr>
        <w:jc w:val="center"/>
        <w:outlineLvl w:val="0"/>
        <w:rPr>
          <w:rFonts w:ascii="Arial" w:hAnsi="Arial" w:cs="Arial"/>
          <w:b/>
          <w:sz w:val="36"/>
          <w:szCs w:val="36"/>
        </w:rPr>
      </w:pPr>
      <w:r>
        <w:rPr>
          <w:rFonts w:ascii="Arial" w:hAnsi="Arial" w:cs="Arial"/>
          <w:b/>
          <w:sz w:val="36"/>
          <w:szCs w:val="36"/>
        </w:rPr>
        <w:t xml:space="preserve">SOUTH CAROLINA </w:t>
      </w:r>
    </w:p>
    <w:p w14:paraId="405FBA8E" w14:textId="4D05BC93" w:rsidR="00573CD3" w:rsidRPr="00313315" w:rsidRDefault="00F33F69" w:rsidP="00F33F69">
      <w:pPr>
        <w:jc w:val="center"/>
        <w:outlineLvl w:val="0"/>
        <w:rPr>
          <w:rFonts w:ascii="Arial" w:hAnsi="Arial" w:cs="Arial"/>
          <w:b/>
          <w:sz w:val="36"/>
          <w:szCs w:val="36"/>
        </w:rPr>
      </w:pPr>
      <w:r>
        <w:rPr>
          <w:rFonts w:ascii="Arial" w:hAnsi="Arial" w:cs="Arial"/>
          <w:b/>
          <w:sz w:val="36"/>
          <w:szCs w:val="36"/>
        </w:rPr>
        <w:t>R</w:t>
      </w:r>
      <w:r w:rsidR="00465745" w:rsidRPr="00313315">
        <w:rPr>
          <w:rFonts w:ascii="Arial" w:hAnsi="Arial" w:cs="Arial"/>
          <w:b/>
          <w:sz w:val="36"/>
          <w:szCs w:val="36"/>
        </w:rPr>
        <w:t>EAL E</w:t>
      </w:r>
      <w:bookmarkStart w:id="0" w:name="_GoBack"/>
      <w:r w:rsidR="00465745" w:rsidRPr="00313315">
        <w:rPr>
          <w:rFonts w:ascii="Arial" w:hAnsi="Arial" w:cs="Arial"/>
          <w:b/>
          <w:sz w:val="36"/>
          <w:szCs w:val="36"/>
        </w:rPr>
        <w:t>STATE</w:t>
      </w:r>
      <w:bookmarkEnd w:id="0"/>
      <w:r w:rsidR="00465745" w:rsidRPr="00313315">
        <w:rPr>
          <w:rFonts w:ascii="Arial" w:hAnsi="Arial" w:cs="Arial"/>
          <w:b/>
          <w:sz w:val="36"/>
          <w:szCs w:val="36"/>
        </w:rPr>
        <w:t xml:space="preserv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1"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1"/>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A16C95"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A16C95"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A16C95"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A16C95"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A16C95"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07F36407"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w:t>
      </w:r>
      <w:r w:rsidR="00F33F69">
        <w:rPr>
          <w:rFonts w:ascii="Arial" w:hAnsi="Arial" w:cs="Arial"/>
          <w:sz w:val="22"/>
          <w:szCs w:val="22"/>
        </w:rPr>
        <w:t xml:space="preserve"> South Carolina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33F69">
      <w:pPr>
        <w:pStyle w:val="ListParagraph"/>
        <w:ind w:left="360"/>
        <w:contextualSpacing w:val="0"/>
        <w:outlineLvl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A16C95"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A16C95"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w:t>
      </w:r>
      <w:proofErr w:type="gramStart"/>
      <w:r w:rsidR="009E5FFB" w:rsidRPr="0012108A">
        <w:rPr>
          <w:rFonts w:ascii="Arial" w:hAnsi="Arial" w:cs="Arial"/>
          <w:sz w:val="22"/>
          <w:szCs w:val="22"/>
        </w:rPr>
        <w:t>In an effort to</w:t>
      </w:r>
      <w:proofErr w:type="gramEnd"/>
      <w:r w:rsidR="009E5FFB" w:rsidRPr="0012108A">
        <w:rPr>
          <w:rFonts w:ascii="Arial" w:hAnsi="Arial" w:cs="Arial"/>
          <w:sz w:val="22"/>
          <w:szCs w:val="22"/>
        </w:rPr>
        <w:t xml:space="preserve">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25368AB0"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w:t>
      </w:r>
      <w:r w:rsidR="00F33F69">
        <w:rPr>
          <w:rFonts w:ascii="Arial" w:hAnsi="Arial" w:cs="Arial"/>
          <w:sz w:val="22"/>
          <w:szCs w:val="22"/>
        </w:rPr>
        <w:t xml:space="preserve"> South Carolina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37844D4B"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F33F69">
        <w:rPr>
          <w:rFonts w:ascii="Arial" w:hAnsi="Arial" w:cs="Arial"/>
          <w:sz w:val="22"/>
          <w:szCs w:val="22"/>
        </w:rPr>
        <w:t>South Carolina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A9E594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F33F69">
        <w:rPr>
          <w:rFonts w:ascii="Arial" w:hAnsi="Arial" w:cs="Arial"/>
          <w:sz w:val="22"/>
          <w:szCs w:val="22"/>
        </w:rPr>
        <w:t>South Carolina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F33F69">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F33F69">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8684" w14:textId="77777777" w:rsidR="00A16C95" w:rsidRDefault="00A16C95" w:rsidP="002033D8">
      <w:r>
        <w:separator/>
      </w:r>
    </w:p>
  </w:endnote>
  <w:endnote w:type="continuationSeparator" w:id="0">
    <w:p w14:paraId="5C543E3D" w14:textId="77777777" w:rsidR="00A16C95" w:rsidRDefault="00A16C95"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33F69">
                            <w:rPr>
                              <w:rStyle w:val="PageNumber"/>
                              <w:rFonts w:ascii="Arial" w:hAnsi="Arial"/>
                              <w:bCs/>
                              <w:noProof/>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33F6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33F69">
                      <w:rPr>
                        <w:rStyle w:val="PageNumber"/>
                        <w:rFonts w:ascii="Arial" w:hAnsi="Arial"/>
                        <w:bCs/>
                        <w:noProof/>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33F6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B065E" w14:textId="77777777" w:rsidR="00A16C95" w:rsidRDefault="00A16C95" w:rsidP="002033D8">
      <w:r>
        <w:separator/>
      </w:r>
    </w:p>
  </w:footnote>
  <w:footnote w:type="continuationSeparator" w:id="0">
    <w:p w14:paraId="2F933C4E" w14:textId="77777777" w:rsidR="00A16C95" w:rsidRDefault="00A16C95"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16C95"/>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33F69"/>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3341</Words>
  <Characters>17676</Characters>
  <Application>Microsoft Macintosh Word</Application>
  <DocSecurity>0</DocSecurity>
  <Lines>360</Lines>
  <Paragraphs>128</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Real Estate Agent Listing Agreement</dc:title>
  <dc:subject/>
  <dc:creator>eSign</dc:creator>
  <cp:keywords/>
  <dc:description/>
  <cp:lastModifiedBy>ilmacaulay@gmail.com</cp:lastModifiedBy>
  <cp:revision>4</cp:revision>
  <dcterms:created xsi:type="dcterms:W3CDTF">2021-08-03T22:56:00Z</dcterms:created>
  <dcterms:modified xsi:type="dcterms:W3CDTF">2021-08-15T19:54:00Z</dcterms:modified>
  <cp:category/>
</cp:coreProperties>
</file>