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91F20" w14:textId="77777777" w:rsidR="009E1327" w:rsidRDefault="009E1327" w:rsidP="00666898">
      <w:pPr>
        <w:tabs>
          <w:tab w:val="left" w:pos="502"/>
          <w:tab w:val="right" w:leader="underscore" w:pos="10621"/>
        </w:tabs>
        <w:spacing w:line="276" w:lineRule="auto"/>
        <w:jc w:val="center"/>
        <w:rPr>
          <w:rFonts w:ascii="Arial" w:hAnsi="Arial" w:cs="Arial"/>
          <w:b/>
          <w:bCs/>
          <w:sz w:val="28"/>
          <w:szCs w:val="28"/>
        </w:rPr>
      </w:pPr>
      <w:r>
        <w:rPr>
          <w:rFonts w:ascii="Arial" w:hAnsi="Arial" w:cs="Arial"/>
          <w:b/>
          <w:bCs/>
          <w:sz w:val="28"/>
          <w:szCs w:val="28"/>
        </w:rPr>
        <w:t xml:space="preserve">SOUTH CAROLINA </w:t>
      </w:r>
    </w:p>
    <w:p w14:paraId="235DF2A1" w14:textId="5BABF1C1" w:rsidR="00700CC7" w:rsidRPr="00F23D60" w:rsidRDefault="009E1327" w:rsidP="00666898">
      <w:pPr>
        <w:tabs>
          <w:tab w:val="left" w:pos="502"/>
          <w:tab w:val="right" w:leader="underscore" w:pos="10621"/>
        </w:tabs>
        <w:spacing w:line="276" w:lineRule="auto"/>
        <w:jc w:val="center"/>
        <w:rPr>
          <w:rFonts w:ascii="Arial" w:hAnsi="Arial" w:cs="Arial"/>
          <w:b/>
          <w:bCs/>
          <w:sz w:val="28"/>
          <w:szCs w:val="28"/>
        </w:rPr>
      </w:pPr>
      <w:r>
        <w:rPr>
          <w:rFonts w:ascii="Arial" w:hAnsi="Arial" w:cs="Arial"/>
          <w:b/>
          <w:bCs/>
          <w:sz w:val="28"/>
          <w:szCs w:val="28"/>
        </w:rPr>
        <w:t>R</w:t>
      </w:r>
      <w:r w:rsidR="00F23D60">
        <w:rPr>
          <w:rFonts w:ascii="Arial" w:hAnsi="Arial" w:cs="Arial"/>
          <w:b/>
          <w:bCs/>
          <w:sz w:val="28"/>
          <w:szCs w:val="28"/>
        </w:rPr>
        <w:t>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A25A5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A25A5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A25A5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A25A5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A25A5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A25A52"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A25A52"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31EA6177"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required to be placed in a separate trust or escrow account in accordance with</w:t>
      </w:r>
      <w:r w:rsidR="009E1327">
        <w:rPr>
          <w:rFonts w:ascii="Arial" w:hAnsi="Arial" w:cs="Arial"/>
          <w:sz w:val="22"/>
          <w:szCs w:val="22"/>
        </w:rPr>
        <w:t xml:space="preserve"> </w:t>
      </w:r>
      <w:r w:rsidR="009E1327" w:rsidRPr="009E1327">
        <w:rPr>
          <w:rFonts w:ascii="Arial" w:hAnsi="Arial" w:cs="Arial"/>
          <w:sz w:val="22"/>
          <w:szCs w:val="22"/>
        </w:rPr>
        <w:t>South Carolina</w:t>
      </w:r>
      <w:r w:rsidR="00A00F27" w:rsidRPr="00337DF3">
        <w:rPr>
          <w:rFonts w:ascii="Arial" w:hAnsi="Arial" w:cs="Arial"/>
          <w:sz w:val="22"/>
          <w:szCs w:val="22"/>
        </w:rPr>
        <w:t xml:space="preserve"> 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lastRenderedPageBreak/>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A25A52"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A25A52"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A25A52"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A25A52"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A25A52"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A25A52"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A25A52"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A25A52"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A25A52"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w:t>
      </w:r>
      <w:r w:rsidR="00A00F27" w:rsidRPr="00337DF3">
        <w:rPr>
          <w:rFonts w:ascii="Arial" w:hAnsi="Arial" w:cs="Arial"/>
          <w:sz w:val="22"/>
          <w:szCs w:val="22"/>
        </w:rPr>
        <w:lastRenderedPageBreak/>
        <w:t xml:space="preserve">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A25A52"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A25A52"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xml:space="preserve">. Section 2250 of Title 18, United States Code, makes it a federal offense for sex offenders required to register pursuant to the Sex Offender Registration and Notification </w:t>
      </w:r>
      <w:r w:rsidR="00A00F27" w:rsidRPr="00337DF3">
        <w:rPr>
          <w:rFonts w:ascii="Arial" w:hAnsi="Arial" w:cs="Arial"/>
          <w:sz w:val="22"/>
          <w:szCs w:val="22"/>
        </w:rPr>
        <w:lastRenderedPageBreak/>
        <w:t>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4CA5246D"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w:t>
      </w:r>
      <w:r w:rsidRPr="00337DF3">
        <w:rPr>
          <w:rFonts w:ascii="Arial" w:hAnsi="Arial" w:cs="Arial"/>
          <w:spacing w:val="2"/>
          <w:sz w:val="22"/>
          <w:szCs w:val="22"/>
        </w:rPr>
        <w:lastRenderedPageBreak/>
        <w:t>arbitrator. Under arbitration, the Parties shall have the right to discovery in accordance with</w:t>
      </w:r>
      <w:r w:rsidR="009E1327">
        <w:rPr>
          <w:rFonts w:ascii="Arial" w:hAnsi="Arial" w:cs="Arial"/>
          <w:spacing w:val="2"/>
          <w:sz w:val="22"/>
          <w:szCs w:val="22"/>
        </w:rPr>
        <w:t xml:space="preserve"> </w:t>
      </w:r>
      <w:r w:rsidR="009E1327" w:rsidRPr="009E1327">
        <w:rPr>
          <w:rFonts w:ascii="Arial" w:hAnsi="Arial" w:cs="Arial"/>
          <w:spacing w:val="2"/>
          <w:sz w:val="22"/>
          <w:szCs w:val="22"/>
        </w:rPr>
        <w:t>South Carolina</w:t>
      </w:r>
      <w:r w:rsidR="009E1327">
        <w:rPr>
          <w:rFonts w:ascii="Arial" w:hAnsi="Arial" w:cs="Arial"/>
          <w:spacing w:val="2"/>
          <w:sz w:val="22"/>
          <w:szCs w:val="22"/>
        </w:rPr>
        <w:t xml:space="preserve"> </w:t>
      </w:r>
      <w:r w:rsidRPr="00337DF3">
        <w:rPr>
          <w:rFonts w:ascii="Arial" w:hAnsi="Arial" w:cs="Arial"/>
          <w:spacing w:val="2"/>
          <w:sz w:val="22"/>
          <w:szCs w:val="22"/>
        </w:rPr>
        <w:t xml:space="preserve">law. Judgment upon the award of the arbitrator(s) may be entered into any court having jurisdiction. Enforcement of this Agreement to arbitrate shall be governed by the Federal Arbitration Act. </w:t>
      </w:r>
    </w:p>
    <w:p w14:paraId="343EC8B9" w14:textId="5BF8F8E1"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9E1327" w:rsidRPr="009E1327">
        <w:rPr>
          <w:rFonts w:ascii="Arial" w:hAnsi="Arial" w:cs="Arial"/>
          <w:spacing w:val="2"/>
          <w:sz w:val="22"/>
          <w:szCs w:val="22"/>
        </w:rPr>
        <w:t>South Carolina</w:t>
      </w:r>
      <w:r w:rsidR="002C4B18" w:rsidRPr="00D96B5D">
        <w:rPr>
          <w:rFonts w:ascii="Arial" w:hAnsi="Arial" w:cs="Arial"/>
          <w:color w:val="FF0000"/>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28CA26B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9E1327" w:rsidRPr="009E1327">
        <w:rPr>
          <w:rFonts w:ascii="Arial" w:hAnsi="Arial" w:cs="Arial"/>
          <w:sz w:val="22"/>
          <w:szCs w:val="22"/>
        </w:rPr>
        <w:t>South Carolina</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w:t>
      </w:r>
      <w:bookmarkStart w:id="1" w:name="_GoBack"/>
      <w:r w:rsidR="00A00F27" w:rsidRPr="00337DF3">
        <w:rPr>
          <w:rFonts w:ascii="Arial" w:hAnsi="Arial" w:cs="Arial"/>
          <w:spacing w:val="2"/>
          <w:sz w:val="22"/>
          <w:szCs w:val="22"/>
        </w:rPr>
        <w:t>state</w:t>
      </w:r>
      <w:bookmarkEnd w:id="1"/>
      <w:r w:rsidR="00A00F27" w:rsidRPr="00337DF3">
        <w:rPr>
          <w:rFonts w:ascii="Arial" w:hAnsi="Arial" w:cs="Arial"/>
          <w:spacing w:val="2"/>
          <w:sz w:val="22"/>
          <w:szCs w:val="22"/>
        </w:rPr>
        <w:t xml:space="preserv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t>
      </w:r>
      <w:r w:rsidR="00682A1F" w:rsidRPr="00337DF3">
        <w:rPr>
          <w:rFonts w:ascii="Arial" w:hAnsi="Arial" w:cs="Arial"/>
          <w:spacing w:val="2"/>
          <w:sz w:val="22"/>
          <w:szCs w:val="22"/>
        </w:rPr>
        <w:lastRenderedPageBreak/>
        <w:t>with licensed real estate agent(s). Seller has read and acknowledges receipt of a copy of this 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A25A52"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A25A52"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A25A52"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A25A52"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A25A52"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A25A52"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A25A52"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A25A52"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A25A52"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A25A52"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A25A52"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A25A52"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29BB7" w14:textId="77777777" w:rsidR="00A25A52" w:rsidRDefault="00A25A52">
      <w:r>
        <w:separator/>
      </w:r>
    </w:p>
  </w:endnote>
  <w:endnote w:type="continuationSeparator" w:id="0">
    <w:p w14:paraId="1A40E792" w14:textId="77777777" w:rsidR="00A25A52" w:rsidRDefault="00A2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9E1327">
                                <w:rPr>
                                  <w:rFonts w:ascii="Arial" w:hAnsi="Arial" w:cs="Arial"/>
                                  <w:bCs/>
                                  <w:noProof/>
                                  <w:sz w:val="20"/>
                                  <w:szCs w:val="20"/>
                                </w:rPr>
                                <w:t>2</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9E1327" w:rsidRPr="009E1327">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0,0l0,21600,21600,21600,2160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9E1327">
                          <w:rPr>
                            <w:rFonts w:ascii="Arial" w:hAnsi="Arial" w:cs="Arial"/>
                            <w:bCs/>
                            <w:noProof/>
                            <w:sz w:val="20"/>
                            <w:szCs w:val="20"/>
                          </w:rPr>
                          <w:t>2</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9E1327" w:rsidRPr="009E1327">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257" w14:textId="46E95F31" w:rsidR="00EC22F4" w:rsidRPr="00D26FEF" w:rsidRDefault="00EC22F4" w:rsidP="00D26FEF">
    <w:pPr>
      <w:pStyle w:val="Footer"/>
      <w:ind w:right="360"/>
    </w:pPr>
    <w:r>
      <w:rPr>
        <w:noProof/>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9E1327">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9E1327" w:rsidRPr="009E1327">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0,0l0,21600,21600,21600,21600,0xe">
              <v:stroke joinstyle="miter"/>
              <v:path gradientshapeok="t" o:connecttype="rect"/>
            </v:shapetype>
            <v:shape id="Text Box 2" o:spid="_x0000_s1027" type="#_x0000_t202" style="position:absolute;margin-left:-5.25pt;margin-top:-12.65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9E1327">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9E1327" w:rsidRPr="009E1327">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3DAF6" w14:textId="77777777" w:rsidR="00A25A52" w:rsidRDefault="00A25A52">
      <w:r>
        <w:rPr>
          <w:color w:val="000000"/>
        </w:rPr>
        <w:separator/>
      </w:r>
    </w:p>
  </w:footnote>
  <w:footnote w:type="continuationSeparator" w:id="0">
    <w:p w14:paraId="35ACE01C" w14:textId="77777777" w:rsidR="00A25A52" w:rsidRDefault="00A25A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E1327"/>
    <w:rsid w:val="009F3A37"/>
    <w:rsid w:val="009F43CE"/>
    <w:rsid w:val="00A00A5A"/>
    <w:rsid w:val="00A00F27"/>
    <w:rsid w:val="00A04A69"/>
    <w:rsid w:val="00A14475"/>
    <w:rsid w:val="00A25A52"/>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3958</Words>
  <Characters>19989</Characters>
  <Application>Microsoft Macintosh Word</Application>
  <DocSecurity>0</DocSecurity>
  <Lines>425</Lines>
  <Paragraphs>155</Paragraphs>
  <ScaleCrop>false</ScaleCrop>
  <HeadingPairs>
    <vt:vector size="2" baseType="variant">
      <vt:variant>
        <vt:lpstr>Title</vt:lpstr>
      </vt:variant>
      <vt:variant>
        <vt:i4>1</vt:i4>
      </vt:variant>
    </vt:vector>
  </HeadingPairs>
  <TitlesOfParts>
    <vt:vector size="1" baseType="lpstr">
      <vt:lpstr>South Carolina Residential Real Estate Purchase Agreement</vt:lpstr>
    </vt:vector>
  </TitlesOfParts>
  <Manager/>
  <Company/>
  <LinksUpToDate>false</LinksUpToDate>
  <CharactersWithSpaces>23792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Residential Real Estate Purchase Agreement</dc:title>
  <dc:subject/>
  <dc:creator>eSign</dc:creator>
  <cp:keywords> </cp:keywords>
  <dc:description> </dc:description>
  <cp:lastModifiedBy>ilmacaulay@gmail.com</cp:lastModifiedBy>
  <cp:revision>3</cp:revision>
  <cp:lastPrinted>2021-02-08T18:20:00Z</cp:lastPrinted>
  <dcterms:created xsi:type="dcterms:W3CDTF">2021-07-21T16:58:00Z</dcterms:created>
  <dcterms:modified xsi:type="dcterms:W3CDTF">2021-07-23T18:56:00Z</dcterms:modified>
  <cp:category/>
</cp:coreProperties>
</file>